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DFD2A" w14:textId="77777777" w:rsidR="005D6D17" w:rsidRDefault="005D6D17">
      <w:pPr>
        <w:pStyle w:val="BodyText"/>
        <w:spacing w:before="116"/>
        <w:rPr>
          <w:rFonts w:ascii="Times New Roman"/>
        </w:rPr>
      </w:pPr>
    </w:p>
    <w:p w14:paraId="3B45F18D" w14:textId="77777777" w:rsidR="005D6D17" w:rsidRDefault="0072097F">
      <w:pPr>
        <w:spacing w:before="1"/>
        <w:ind w:left="17"/>
        <w:jc w:val="center"/>
        <w:rPr>
          <w:b/>
          <w:sz w:val="20"/>
        </w:rPr>
      </w:pPr>
      <w:r>
        <w:rPr>
          <w:b/>
          <w:sz w:val="20"/>
          <w:u w:val="single"/>
        </w:rPr>
        <w:t>Broadband</w:t>
      </w:r>
      <w:r>
        <w:rPr>
          <w:b/>
          <w:spacing w:val="-9"/>
          <w:sz w:val="20"/>
          <w:u w:val="single"/>
        </w:rPr>
        <w:t xml:space="preserve"> </w:t>
      </w:r>
      <w:r>
        <w:rPr>
          <w:b/>
          <w:sz w:val="20"/>
          <w:u w:val="single"/>
        </w:rPr>
        <w:t>Dynamics,</w:t>
      </w:r>
      <w:r>
        <w:rPr>
          <w:b/>
          <w:spacing w:val="-8"/>
          <w:sz w:val="20"/>
          <w:u w:val="single"/>
        </w:rPr>
        <w:t xml:space="preserve"> </w:t>
      </w:r>
      <w:r>
        <w:rPr>
          <w:b/>
          <w:sz w:val="20"/>
          <w:u w:val="single"/>
        </w:rPr>
        <w:t>LLC</w:t>
      </w:r>
      <w:r>
        <w:rPr>
          <w:b/>
          <w:spacing w:val="-9"/>
          <w:sz w:val="20"/>
          <w:u w:val="single"/>
        </w:rPr>
        <w:t xml:space="preserve"> </w:t>
      </w:r>
      <w:r>
        <w:rPr>
          <w:b/>
          <w:sz w:val="20"/>
          <w:u w:val="single"/>
        </w:rPr>
        <w:t>Acceptable</w:t>
      </w:r>
      <w:r>
        <w:rPr>
          <w:b/>
          <w:spacing w:val="-9"/>
          <w:sz w:val="20"/>
          <w:u w:val="single"/>
        </w:rPr>
        <w:t xml:space="preserve"> </w:t>
      </w:r>
      <w:r>
        <w:rPr>
          <w:b/>
          <w:sz w:val="20"/>
          <w:u w:val="single"/>
        </w:rPr>
        <w:t>Use</w:t>
      </w:r>
      <w:r>
        <w:rPr>
          <w:b/>
          <w:spacing w:val="-7"/>
          <w:sz w:val="20"/>
          <w:u w:val="single"/>
        </w:rPr>
        <w:t xml:space="preserve"> </w:t>
      </w:r>
      <w:r>
        <w:rPr>
          <w:b/>
          <w:spacing w:val="-2"/>
          <w:sz w:val="20"/>
          <w:u w:val="single"/>
        </w:rPr>
        <w:t>Policy</w:t>
      </w:r>
    </w:p>
    <w:p w14:paraId="05507808" w14:textId="77777777" w:rsidR="005D6D17" w:rsidRDefault="005D6D17">
      <w:pPr>
        <w:pStyle w:val="BodyText"/>
        <w:rPr>
          <w:b/>
        </w:rPr>
      </w:pPr>
    </w:p>
    <w:p w14:paraId="7B197B28" w14:textId="77777777" w:rsidR="005D6D17" w:rsidRDefault="0072097F">
      <w:pPr>
        <w:pStyle w:val="BodyText"/>
        <w:ind w:left="119" w:right="108"/>
      </w:pPr>
      <w:r>
        <w:t>This Acceptable Use Policy (“AUP”) describes actions that Broadband Dynamics, LLC (“BBD”) prohibits when any party uses its Services. By ordering or using BBD’s Services, you, the Customer or service recipient, agree to the terms of this AUP. Each Customer must review and comply with this AUP and all applicable</w:t>
      </w:r>
      <w:r>
        <w:rPr>
          <w:spacing w:val="-1"/>
        </w:rPr>
        <w:t xml:space="preserve"> </w:t>
      </w:r>
      <w:r>
        <w:t>laws,</w:t>
      </w:r>
      <w:r>
        <w:rPr>
          <w:spacing w:val="-3"/>
        </w:rPr>
        <w:t xml:space="preserve"> </w:t>
      </w:r>
      <w:r>
        <w:t>but</w:t>
      </w:r>
      <w:r>
        <w:rPr>
          <w:spacing w:val="-1"/>
        </w:rPr>
        <w:t xml:space="preserve"> </w:t>
      </w:r>
      <w:r>
        <w:t>this</w:t>
      </w:r>
      <w:r>
        <w:rPr>
          <w:spacing w:val="-2"/>
        </w:rPr>
        <w:t xml:space="preserve"> </w:t>
      </w:r>
      <w:r>
        <w:t>AUP</w:t>
      </w:r>
      <w:r>
        <w:rPr>
          <w:spacing w:val="-4"/>
        </w:rPr>
        <w:t xml:space="preserve"> </w:t>
      </w:r>
      <w:r>
        <w:t>is</w:t>
      </w:r>
      <w:r>
        <w:rPr>
          <w:spacing w:val="-2"/>
        </w:rPr>
        <w:t xml:space="preserve"> </w:t>
      </w:r>
      <w:r>
        <w:t>not</w:t>
      </w:r>
      <w:r>
        <w:rPr>
          <w:spacing w:val="-1"/>
        </w:rPr>
        <w:t xml:space="preserve"> </w:t>
      </w:r>
      <w:r>
        <w:t>intended</w:t>
      </w:r>
      <w:r>
        <w:rPr>
          <w:spacing w:val="-3"/>
        </w:rPr>
        <w:t xml:space="preserve"> </w:t>
      </w:r>
      <w:r>
        <w:t>to</w:t>
      </w:r>
      <w:r>
        <w:rPr>
          <w:spacing w:val="-3"/>
        </w:rPr>
        <w:t xml:space="preserve"> </w:t>
      </w:r>
      <w:r>
        <w:t>be</w:t>
      </w:r>
      <w:r>
        <w:rPr>
          <w:spacing w:val="-1"/>
        </w:rPr>
        <w:t xml:space="preserve"> </w:t>
      </w:r>
      <w:r>
        <w:t>interpreted</w:t>
      </w:r>
      <w:r>
        <w:rPr>
          <w:spacing w:val="-1"/>
        </w:rPr>
        <w:t xml:space="preserve"> </w:t>
      </w:r>
      <w:r>
        <w:t>as,</w:t>
      </w:r>
      <w:r>
        <w:rPr>
          <w:spacing w:val="-3"/>
        </w:rPr>
        <w:t xml:space="preserve"> </w:t>
      </w:r>
      <w:r>
        <w:t>relied</w:t>
      </w:r>
      <w:r>
        <w:rPr>
          <w:spacing w:val="-3"/>
        </w:rPr>
        <w:t xml:space="preserve"> </w:t>
      </w:r>
      <w:r>
        <w:t>upon,</w:t>
      </w:r>
      <w:r>
        <w:rPr>
          <w:spacing w:val="-1"/>
        </w:rPr>
        <w:t xml:space="preserve"> </w:t>
      </w:r>
      <w:r>
        <w:t>or</w:t>
      </w:r>
      <w:r>
        <w:rPr>
          <w:spacing w:val="-2"/>
        </w:rPr>
        <w:t xml:space="preserve"> </w:t>
      </w:r>
      <w:r>
        <w:t>used</w:t>
      </w:r>
      <w:r>
        <w:rPr>
          <w:spacing w:val="-3"/>
        </w:rPr>
        <w:t xml:space="preserve"> </w:t>
      </w:r>
      <w:r>
        <w:t>as</w:t>
      </w:r>
      <w:r>
        <w:rPr>
          <w:spacing w:val="-2"/>
        </w:rPr>
        <w:t xml:space="preserve"> </w:t>
      </w:r>
      <w:r>
        <w:t>a</w:t>
      </w:r>
      <w:r>
        <w:rPr>
          <w:spacing w:val="-3"/>
        </w:rPr>
        <w:t xml:space="preserve"> </w:t>
      </w:r>
      <w:r>
        <w:t>substitute</w:t>
      </w:r>
      <w:r>
        <w:rPr>
          <w:spacing w:val="-3"/>
        </w:rPr>
        <w:t xml:space="preserve"> </w:t>
      </w:r>
      <w:r>
        <w:t>for legal advice. You agree not to use, and not to encourage or allow any end user or other party to use, BBD’s Services in unlawful or prohibited manners, including, but not limited to, the following:</w:t>
      </w:r>
    </w:p>
    <w:p w14:paraId="1B96ACD6" w14:textId="77777777" w:rsidR="005D6D17" w:rsidRDefault="005D6D17">
      <w:pPr>
        <w:pStyle w:val="BodyText"/>
        <w:spacing w:before="4"/>
      </w:pPr>
    </w:p>
    <w:p w14:paraId="7E715898" w14:textId="77777777" w:rsidR="005D6D17" w:rsidRDefault="0072097F">
      <w:pPr>
        <w:pStyle w:val="ListParagraph"/>
        <w:numPr>
          <w:ilvl w:val="0"/>
          <w:numId w:val="1"/>
        </w:numPr>
        <w:tabs>
          <w:tab w:val="left" w:pos="840"/>
        </w:tabs>
        <w:spacing w:line="237" w:lineRule="auto"/>
        <w:ind w:right="112"/>
        <w:rPr>
          <w:sz w:val="20"/>
        </w:rPr>
      </w:pPr>
      <w:r>
        <w:rPr>
          <w:sz w:val="20"/>
        </w:rPr>
        <w:t>Using</w:t>
      </w:r>
      <w:r>
        <w:rPr>
          <w:spacing w:val="-4"/>
          <w:sz w:val="20"/>
        </w:rPr>
        <w:t xml:space="preserve"> </w:t>
      </w:r>
      <w:r>
        <w:rPr>
          <w:sz w:val="20"/>
        </w:rPr>
        <w:t>the</w:t>
      </w:r>
      <w:r>
        <w:rPr>
          <w:spacing w:val="-2"/>
          <w:sz w:val="20"/>
        </w:rPr>
        <w:t xml:space="preserve"> </w:t>
      </w:r>
      <w:r>
        <w:rPr>
          <w:sz w:val="20"/>
        </w:rPr>
        <w:t>Services</w:t>
      </w:r>
      <w:r>
        <w:rPr>
          <w:spacing w:val="-3"/>
          <w:sz w:val="20"/>
        </w:rPr>
        <w:t xml:space="preserve"> </w:t>
      </w:r>
      <w:r>
        <w:rPr>
          <w:sz w:val="20"/>
        </w:rPr>
        <w:t>to</w:t>
      </w:r>
      <w:r>
        <w:rPr>
          <w:spacing w:val="-2"/>
          <w:sz w:val="20"/>
        </w:rPr>
        <w:t xml:space="preserve"> </w:t>
      </w:r>
      <w:r>
        <w:rPr>
          <w:sz w:val="20"/>
        </w:rPr>
        <w:t>engage</w:t>
      </w:r>
      <w:r>
        <w:rPr>
          <w:spacing w:val="-4"/>
          <w:sz w:val="20"/>
        </w:rPr>
        <w:t xml:space="preserve"> </w:t>
      </w:r>
      <w:r>
        <w:rPr>
          <w:sz w:val="20"/>
        </w:rPr>
        <w:t>in</w:t>
      </w:r>
      <w:r>
        <w:rPr>
          <w:spacing w:val="-4"/>
          <w:sz w:val="20"/>
        </w:rPr>
        <w:t xml:space="preserve"> </w:t>
      </w:r>
      <w:r>
        <w:rPr>
          <w:sz w:val="20"/>
        </w:rPr>
        <w:t>any</w:t>
      </w:r>
      <w:r>
        <w:rPr>
          <w:spacing w:val="-2"/>
          <w:sz w:val="20"/>
        </w:rPr>
        <w:t xml:space="preserve"> </w:t>
      </w:r>
      <w:r>
        <w:rPr>
          <w:sz w:val="20"/>
        </w:rPr>
        <w:t>activities</w:t>
      </w:r>
      <w:r>
        <w:rPr>
          <w:spacing w:val="-3"/>
          <w:sz w:val="20"/>
        </w:rPr>
        <w:t xml:space="preserve"> </w:t>
      </w:r>
      <w:r>
        <w:rPr>
          <w:sz w:val="20"/>
        </w:rPr>
        <w:t>that</w:t>
      </w:r>
      <w:r>
        <w:rPr>
          <w:spacing w:val="-2"/>
          <w:sz w:val="20"/>
        </w:rPr>
        <w:t xml:space="preserve"> </w:t>
      </w:r>
      <w:r>
        <w:rPr>
          <w:sz w:val="20"/>
        </w:rPr>
        <w:t>are</w:t>
      </w:r>
      <w:r>
        <w:rPr>
          <w:spacing w:val="-2"/>
          <w:sz w:val="20"/>
        </w:rPr>
        <w:t xml:space="preserve"> </w:t>
      </w:r>
      <w:r>
        <w:rPr>
          <w:sz w:val="20"/>
        </w:rPr>
        <w:t>illegal,</w:t>
      </w:r>
      <w:r>
        <w:rPr>
          <w:spacing w:val="-2"/>
          <w:sz w:val="20"/>
        </w:rPr>
        <w:t xml:space="preserve"> </w:t>
      </w:r>
      <w:r>
        <w:rPr>
          <w:sz w:val="20"/>
        </w:rPr>
        <w:t>abusive,</w:t>
      </w:r>
      <w:r>
        <w:rPr>
          <w:spacing w:val="-4"/>
          <w:sz w:val="20"/>
        </w:rPr>
        <w:t xml:space="preserve"> </w:t>
      </w:r>
      <w:r>
        <w:rPr>
          <w:sz w:val="20"/>
        </w:rPr>
        <w:t>false,</w:t>
      </w:r>
      <w:r>
        <w:rPr>
          <w:spacing w:val="-4"/>
          <w:sz w:val="20"/>
        </w:rPr>
        <w:t xml:space="preserve"> </w:t>
      </w:r>
      <w:r>
        <w:rPr>
          <w:sz w:val="20"/>
        </w:rPr>
        <w:t>fraudulent,</w:t>
      </w:r>
      <w:r>
        <w:rPr>
          <w:spacing w:val="-4"/>
          <w:sz w:val="20"/>
        </w:rPr>
        <w:t xml:space="preserve"> </w:t>
      </w:r>
      <w:r>
        <w:rPr>
          <w:sz w:val="20"/>
        </w:rPr>
        <w:t>deceptive or misleading, or any activity that exploits, harms, or threatens to harm children.</w:t>
      </w:r>
    </w:p>
    <w:p w14:paraId="5D60AAAA" w14:textId="77777777" w:rsidR="005D6D17" w:rsidRDefault="0072097F">
      <w:pPr>
        <w:pStyle w:val="ListParagraph"/>
        <w:numPr>
          <w:ilvl w:val="0"/>
          <w:numId w:val="1"/>
        </w:numPr>
        <w:tabs>
          <w:tab w:val="left" w:pos="839"/>
        </w:tabs>
        <w:spacing w:before="1"/>
        <w:ind w:left="839" w:right="134"/>
        <w:rPr>
          <w:sz w:val="20"/>
        </w:rPr>
      </w:pPr>
      <w:r>
        <w:rPr>
          <w:sz w:val="20"/>
        </w:rPr>
        <w:t>Engaging</w:t>
      </w:r>
      <w:r>
        <w:rPr>
          <w:spacing w:val="-3"/>
          <w:sz w:val="20"/>
        </w:rPr>
        <w:t xml:space="preserve"> </w:t>
      </w:r>
      <w:r>
        <w:rPr>
          <w:sz w:val="20"/>
        </w:rPr>
        <w:t>in</w:t>
      </w:r>
      <w:r>
        <w:rPr>
          <w:spacing w:val="-3"/>
          <w:sz w:val="20"/>
        </w:rPr>
        <w:t xml:space="preserve"> </w:t>
      </w:r>
      <w:r>
        <w:rPr>
          <w:sz w:val="20"/>
        </w:rPr>
        <w:t>any</w:t>
      </w:r>
      <w:r>
        <w:rPr>
          <w:spacing w:val="-4"/>
          <w:sz w:val="20"/>
        </w:rPr>
        <w:t xml:space="preserve"> </w:t>
      </w:r>
      <w:r>
        <w:rPr>
          <w:sz w:val="20"/>
        </w:rPr>
        <w:t>unsolicited</w:t>
      </w:r>
      <w:r>
        <w:rPr>
          <w:spacing w:val="-3"/>
          <w:sz w:val="20"/>
        </w:rPr>
        <w:t xml:space="preserve"> </w:t>
      </w:r>
      <w:r>
        <w:rPr>
          <w:sz w:val="20"/>
        </w:rPr>
        <w:t>advertising,</w:t>
      </w:r>
      <w:r>
        <w:rPr>
          <w:spacing w:val="-3"/>
          <w:sz w:val="20"/>
        </w:rPr>
        <w:t xml:space="preserve"> </w:t>
      </w:r>
      <w:r>
        <w:rPr>
          <w:sz w:val="20"/>
        </w:rPr>
        <w:t>marketing,</w:t>
      </w:r>
      <w:r>
        <w:rPr>
          <w:spacing w:val="-5"/>
          <w:sz w:val="20"/>
        </w:rPr>
        <w:t xml:space="preserve"> </w:t>
      </w:r>
      <w:r>
        <w:rPr>
          <w:sz w:val="20"/>
        </w:rPr>
        <w:t>or</w:t>
      </w:r>
      <w:r>
        <w:rPr>
          <w:spacing w:val="-2"/>
          <w:sz w:val="20"/>
        </w:rPr>
        <w:t xml:space="preserve"> </w:t>
      </w:r>
      <w:r>
        <w:rPr>
          <w:sz w:val="20"/>
        </w:rPr>
        <w:t>other</w:t>
      </w:r>
      <w:r>
        <w:rPr>
          <w:spacing w:val="-4"/>
          <w:sz w:val="20"/>
        </w:rPr>
        <w:t xml:space="preserve"> </w:t>
      </w:r>
      <w:r>
        <w:rPr>
          <w:sz w:val="20"/>
        </w:rPr>
        <w:t>unlawful</w:t>
      </w:r>
      <w:r>
        <w:rPr>
          <w:spacing w:val="-5"/>
          <w:sz w:val="20"/>
        </w:rPr>
        <w:t xml:space="preserve"> </w:t>
      </w:r>
      <w:r>
        <w:rPr>
          <w:sz w:val="20"/>
        </w:rPr>
        <w:t>activities</w:t>
      </w:r>
      <w:r>
        <w:rPr>
          <w:spacing w:val="-4"/>
          <w:sz w:val="20"/>
        </w:rPr>
        <w:t xml:space="preserve"> </w:t>
      </w:r>
      <w:r>
        <w:rPr>
          <w:sz w:val="20"/>
        </w:rPr>
        <w:t>using</w:t>
      </w:r>
      <w:r>
        <w:rPr>
          <w:spacing w:val="-5"/>
          <w:sz w:val="20"/>
        </w:rPr>
        <w:t xml:space="preserve"> </w:t>
      </w:r>
      <w:r>
        <w:rPr>
          <w:sz w:val="20"/>
        </w:rPr>
        <w:t>the</w:t>
      </w:r>
      <w:r>
        <w:rPr>
          <w:spacing w:val="-5"/>
          <w:sz w:val="20"/>
        </w:rPr>
        <w:t xml:space="preserve"> </w:t>
      </w:r>
      <w:r>
        <w:rPr>
          <w:sz w:val="20"/>
        </w:rPr>
        <w:t>Services, including without limitation, any activities that violate laws applicable to advertising, electronic communications, and telemarketing, including, but not limited to, Section 5 of the FTC Act (15 U.S.C. §</w:t>
      </w:r>
      <w:r>
        <w:rPr>
          <w:spacing w:val="-1"/>
          <w:sz w:val="20"/>
        </w:rPr>
        <w:t xml:space="preserve"> </w:t>
      </w:r>
      <w:r>
        <w:rPr>
          <w:sz w:val="20"/>
        </w:rPr>
        <w:t>45),</w:t>
      </w:r>
      <w:r>
        <w:rPr>
          <w:spacing w:val="-1"/>
          <w:sz w:val="20"/>
        </w:rPr>
        <w:t xml:space="preserve"> </w:t>
      </w:r>
      <w:r>
        <w:rPr>
          <w:sz w:val="20"/>
        </w:rPr>
        <w:t>the</w:t>
      </w:r>
      <w:r>
        <w:rPr>
          <w:spacing w:val="-1"/>
          <w:sz w:val="20"/>
        </w:rPr>
        <w:t xml:space="preserve"> </w:t>
      </w:r>
      <w:r>
        <w:rPr>
          <w:sz w:val="20"/>
        </w:rPr>
        <w:t>CAN-SPAM</w:t>
      </w:r>
      <w:r>
        <w:rPr>
          <w:spacing w:val="-1"/>
          <w:sz w:val="20"/>
        </w:rPr>
        <w:t xml:space="preserve"> </w:t>
      </w:r>
      <w:r>
        <w:rPr>
          <w:sz w:val="20"/>
        </w:rPr>
        <w:t>Act</w:t>
      </w:r>
      <w:r>
        <w:rPr>
          <w:spacing w:val="-1"/>
          <w:sz w:val="20"/>
        </w:rPr>
        <w:t xml:space="preserve"> </w:t>
      </w:r>
      <w:r>
        <w:rPr>
          <w:sz w:val="20"/>
        </w:rPr>
        <w:t>(15</w:t>
      </w:r>
      <w:r>
        <w:rPr>
          <w:spacing w:val="-1"/>
          <w:sz w:val="20"/>
        </w:rPr>
        <w:t xml:space="preserve"> </w:t>
      </w:r>
      <w:r>
        <w:rPr>
          <w:sz w:val="20"/>
        </w:rPr>
        <w:t>U.S.C. §§ 7701-7713), the</w:t>
      </w:r>
      <w:r>
        <w:rPr>
          <w:spacing w:val="-1"/>
          <w:sz w:val="20"/>
        </w:rPr>
        <w:t xml:space="preserve"> </w:t>
      </w:r>
      <w:r>
        <w:rPr>
          <w:sz w:val="20"/>
        </w:rPr>
        <w:t>Telemarketing</w:t>
      </w:r>
      <w:r>
        <w:rPr>
          <w:spacing w:val="-1"/>
          <w:sz w:val="20"/>
        </w:rPr>
        <w:t xml:space="preserve"> </w:t>
      </w:r>
      <w:r>
        <w:rPr>
          <w:sz w:val="20"/>
        </w:rPr>
        <w:t>Consumer Fraud and Abuse Prevention Act (15 U.S.C. §§ 6101-6108), the Federal Trade Commission Telemarketing Sales Rule</w:t>
      </w:r>
      <w:r>
        <w:rPr>
          <w:spacing w:val="-1"/>
          <w:sz w:val="20"/>
        </w:rPr>
        <w:t xml:space="preserve"> </w:t>
      </w:r>
      <w:r>
        <w:rPr>
          <w:sz w:val="20"/>
        </w:rPr>
        <w:t>(16</w:t>
      </w:r>
      <w:r>
        <w:rPr>
          <w:spacing w:val="-1"/>
          <w:sz w:val="20"/>
        </w:rPr>
        <w:t xml:space="preserve"> </w:t>
      </w:r>
      <w:r>
        <w:rPr>
          <w:sz w:val="20"/>
        </w:rPr>
        <w:t>C.F.R.</w:t>
      </w:r>
      <w:r>
        <w:rPr>
          <w:spacing w:val="-1"/>
          <w:sz w:val="20"/>
        </w:rPr>
        <w:t xml:space="preserve"> </w:t>
      </w:r>
      <w:r>
        <w:rPr>
          <w:sz w:val="20"/>
        </w:rPr>
        <w:t>§ 310 et</w:t>
      </w:r>
      <w:r>
        <w:rPr>
          <w:spacing w:val="-1"/>
          <w:sz w:val="20"/>
        </w:rPr>
        <w:t xml:space="preserve"> </w:t>
      </w:r>
      <w:r>
        <w:rPr>
          <w:sz w:val="20"/>
        </w:rPr>
        <w:t>seq.),</w:t>
      </w:r>
      <w:r>
        <w:rPr>
          <w:spacing w:val="-1"/>
          <w:sz w:val="20"/>
        </w:rPr>
        <w:t xml:space="preserve"> </w:t>
      </w:r>
      <w:r>
        <w:rPr>
          <w:sz w:val="20"/>
        </w:rPr>
        <w:t>the</w:t>
      </w:r>
      <w:r>
        <w:rPr>
          <w:spacing w:val="-1"/>
          <w:sz w:val="20"/>
        </w:rPr>
        <w:t xml:space="preserve"> </w:t>
      </w:r>
      <w:r>
        <w:rPr>
          <w:sz w:val="20"/>
        </w:rPr>
        <w:t>Telephone Consumer Protection Act</w:t>
      </w:r>
      <w:r>
        <w:rPr>
          <w:spacing w:val="-1"/>
          <w:sz w:val="20"/>
        </w:rPr>
        <w:t xml:space="preserve"> </w:t>
      </w:r>
      <w:r>
        <w:rPr>
          <w:sz w:val="20"/>
        </w:rPr>
        <w:t>(47 U.S.C. §§ 227), the Federal Communications Commission regulations (47 C.F.R. 64.1200 et seq.) and orders implementing the Telephone Consumer Protection Act, all federal and state Do Not Call, calling-time, and call-quantity restriction laws and regulations.</w:t>
      </w:r>
    </w:p>
    <w:p w14:paraId="608027E1" w14:textId="77777777" w:rsidR="005D6D17" w:rsidRDefault="0072097F">
      <w:pPr>
        <w:pStyle w:val="ListParagraph"/>
        <w:numPr>
          <w:ilvl w:val="0"/>
          <w:numId w:val="1"/>
        </w:numPr>
        <w:tabs>
          <w:tab w:val="left" w:pos="839"/>
        </w:tabs>
        <w:ind w:left="839" w:right="214"/>
        <w:rPr>
          <w:sz w:val="20"/>
        </w:rPr>
      </w:pPr>
      <w:r>
        <w:rPr>
          <w:sz w:val="20"/>
        </w:rPr>
        <w:t>Using BBD’s Services in any way that fails to conform to any applicable industry guidelines and standards,</w:t>
      </w:r>
      <w:r>
        <w:rPr>
          <w:spacing w:val="-3"/>
          <w:sz w:val="20"/>
        </w:rPr>
        <w:t xml:space="preserve"> </w:t>
      </w:r>
      <w:r>
        <w:rPr>
          <w:sz w:val="20"/>
        </w:rPr>
        <w:t>including,</w:t>
      </w:r>
      <w:r>
        <w:rPr>
          <w:spacing w:val="-3"/>
          <w:sz w:val="20"/>
        </w:rPr>
        <w:t xml:space="preserve"> </w:t>
      </w:r>
      <w:r>
        <w:rPr>
          <w:sz w:val="20"/>
        </w:rPr>
        <w:t>without</w:t>
      </w:r>
      <w:r>
        <w:rPr>
          <w:spacing w:val="-5"/>
          <w:sz w:val="20"/>
        </w:rPr>
        <w:t xml:space="preserve"> </w:t>
      </w:r>
      <w:r>
        <w:rPr>
          <w:sz w:val="20"/>
        </w:rPr>
        <w:t>limitation,</w:t>
      </w:r>
      <w:r>
        <w:rPr>
          <w:spacing w:val="-5"/>
          <w:sz w:val="20"/>
        </w:rPr>
        <w:t xml:space="preserve"> </w:t>
      </w:r>
      <w:r>
        <w:rPr>
          <w:sz w:val="20"/>
        </w:rPr>
        <w:t>the</w:t>
      </w:r>
      <w:r>
        <w:rPr>
          <w:spacing w:val="-5"/>
          <w:sz w:val="20"/>
        </w:rPr>
        <w:t xml:space="preserve"> </w:t>
      </w:r>
      <w:r>
        <w:rPr>
          <w:sz w:val="20"/>
        </w:rPr>
        <w:t>CTIA</w:t>
      </w:r>
      <w:r>
        <w:rPr>
          <w:spacing w:val="-6"/>
          <w:sz w:val="20"/>
        </w:rPr>
        <w:t xml:space="preserve"> </w:t>
      </w:r>
      <w:r>
        <w:rPr>
          <w:sz w:val="20"/>
        </w:rPr>
        <w:t>Messaging</w:t>
      </w:r>
      <w:r>
        <w:rPr>
          <w:spacing w:val="-3"/>
          <w:sz w:val="20"/>
        </w:rPr>
        <w:t xml:space="preserve"> </w:t>
      </w:r>
      <w:r>
        <w:rPr>
          <w:sz w:val="20"/>
        </w:rPr>
        <w:t>Principles</w:t>
      </w:r>
      <w:r>
        <w:rPr>
          <w:spacing w:val="-4"/>
          <w:sz w:val="20"/>
        </w:rPr>
        <w:t xml:space="preserve"> </w:t>
      </w:r>
      <w:r>
        <w:rPr>
          <w:sz w:val="20"/>
        </w:rPr>
        <w:t>and</w:t>
      </w:r>
      <w:r>
        <w:rPr>
          <w:spacing w:val="-5"/>
          <w:sz w:val="20"/>
        </w:rPr>
        <w:t xml:space="preserve"> </w:t>
      </w:r>
      <w:r>
        <w:rPr>
          <w:sz w:val="20"/>
        </w:rPr>
        <w:t>Best</w:t>
      </w:r>
      <w:r>
        <w:rPr>
          <w:spacing w:val="-5"/>
          <w:sz w:val="20"/>
        </w:rPr>
        <w:t xml:space="preserve"> </w:t>
      </w:r>
      <w:r>
        <w:rPr>
          <w:sz w:val="20"/>
        </w:rPr>
        <w:t>Practices,</w:t>
      </w:r>
      <w:r>
        <w:rPr>
          <w:spacing w:val="-5"/>
          <w:sz w:val="20"/>
        </w:rPr>
        <w:t xml:space="preserve"> </w:t>
      </w:r>
      <w:r>
        <w:rPr>
          <w:sz w:val="20"/>
        </w:rPr>
        <w:t>Short Code Registry Best Practices and Short Code Monitoring Handbook.</w:t>
      </w:r>
    </w:p>
    <w:p w14:paraId="2F86C0B3" w14:textId="77777777" w:rsidR="005D6D17" w:rsidRDefault="0072097F">
      <w:pPr>
        <w:pStyle w:val="ListParagraph"/>
        <w:numPr>
          <w:ilvl w:val="0"/>
          <w:numId w:val="1"/>
        </w:numPr>
        <w:tabs>
          <w:tab w:val="left" w:pos="839"/>
        </w:tabs>
        <w:ind w:left="839" w:right="618"/>
        <w:rPr>
          <w:sz w:val="20"/>
        </w:rPr>
      </w:pPr>
      <w:r>
        <w:rPr>
          <w:sz w:val="20"/>
        </w:rPr>
        <w:t>Attempting</w:t>
      </w:r>
      <w:r>
        <w:rPr>
          <w:spacing w:val="-3"/>
          <w:sz w:val="20"/>
        </w:rPr>
        <w:t xml:space="preserve"> </w:t>
      </w:r>
      <w:r>
        <w:rPr>
          <w:sz w:val="20"/>
        </w:rPr>
        <w:t>to</w:t>
      </w:r>
      <w:r>
        <w:rPr>
          <w:spacing w:val="-3"/>
          <w:sz w:val="20"/>
        </w:rPr>
        <w:t xml:space="preserve"> </w:t>
      </w:r>
      <w:r>
        <w:rPr>
          <w:sz w:val="20"/>
        </w:rPr>
        <w:t>bypass</w:t>
      </w:r>
      <w:r>
        <w:rPr>
          <w:spacing w:val="-4"/>
          <w:sz w:val="20"/>
        </w:rPr>
        <w:t xml:space="preserve"> </w:t>
      </w:r>
      <w:r>
        <w:rPr>
          <w:sz w:val="20"/>
        </w:rPr>
        <w:t>or</w:t>
      </w:r>
      <w:r>
        <w:rPr>
          <w:spacing w:val="-4"/>
          <w:sz w:val="20"/>
        </w:rPr>
        <w:t xml:space="preserve"> </w:t>
      </w:r>
      <w:r>
        <w:rPr>
          <w:sz w:val="20"/>
        </w:rPr>
        <w:t>disable</w:t>
      </w:r>
      <w:r>
        <w:rPr>
          <w:spacing w:val="-5"/>
          <w:sz w:val="20"/>
        </w:rPr>
        <w:t xml:space="preserve"> </w:t>
      </w:r>
      <w:r>
        <w:rPr>
          <w:sz w:val="20"/>
        </w:rPr>
        <w:t>any</w:t>
      </w:r>
      <w:r>
        <w:rPr>
          <w:spacing w:val="-4"/>
          <w:sz w:val="20"/>
        </w:rPr>
        <w:t xml:space="preserve"> </w:t>
      </w:r>
      <w:r>
        <w:rPr>
          <w:sz w:val="20"/>
        </w:rPr>
        <w:t>security</w:t>
      </w:r>
      <w:r>
        <w:rPr>
          <w:spacing w:val="-4"/>
          <w:sz w:val="20"/>
        </w:rPr>
        <w:t xml:space="preserve"> </w:t>
      </w:r>
      <w:r>
        <w:rPr>
          <w:sz w:val="20"/>
        </w:rPr>
        <w:t>mechanism</w:t>
      </w:r>
      <w:r>
        <w:rPr>
          <w:spacing w:val="-5"/>
          <w:sz w:val="20"/>
        </w:rPr>
        <w:t xml:space="preserve"> </w:t>
      </w:r>
      <w:r>
        <w:rPr>
          <w:sz w:val="20"/>
        </w:rPr>
        <w:t>on</w:t>
      </w:r>
      <w:r>
        <w:rPr>
          <w:spacing w:val="-3"/>
          <w:sz w:val="20"/>
        </w:rPr>
        <w:t xml:space="preserve"> </w:t>
      </w:r>
      <w:r>
        <w:rPr>
          <w:sz w:val="20"/>
        </w:rPr>
        <w:t>any</w:t>
      </w:r>
      <w:r>
        <w:rPr>
          <w:spacing w:val="-4"/>
          <w:sz w:val="20"/>
        </w:rPr>
        <w:t xml:space="preserve"> </w:t>
      </w:r>
      <w:r>
        <w:rPr>
          <w:sz w:val="20"/>
        </w:rPr>
        <w:t>of</w:t>
      </w:r>
      <w:r>
        <w:rPr>
          <w:spacing w:val="-3"/>
          <w:sz w:val="20"/>
        </w:rPr>
        <w:t xml:space="preserve"> </w:t>
      </w:r>
      <w:r>
        <w:rPr>
          <w:sz w:val="20"/>
        </w:rPr>
        <w:t>the</w:t>
      </w:r>
      <w:r>
        <w:rPr>
          <w:spacing w:val="-3"/>
          <w:sz w:val="20"/>
        </w:rPr>
        <w:t xml:space="preserve"> </w:t>
      </w:r>
      <w:r>
        <w:rPr>
          <w:sz w:val="20"/>
        </w:rPr>
        <w:t>Services</w:t>
      </w:r>
      <w:r>
        <w:rPr>
          <w:spacing w:val="-4"/>
          <w:sz w:val="20"/>
        </w:rPr>
        <w:t xml:space="preserve"> </w:t>
      </w:r>
      <w:r>
        <w:rPr>
          <w:sz w:val="20"/>
        </w:rPr>
        <w:t>or</w:t>
      </w:r>
      <w:r>
        <w:rPr>
          <w:spacing w:val="-4"/>
          <w:sz w:val="20"/>
        </w:rPr>
        <w:t xml:space="preserve"> </w:t>
      </w:r>
      <w:r>
        <w:rPr>
          <w:sz w:val="20"/>
        </w:rPr>
        <w:t>using</w:t>
      </w:r>
      <w:r>
        <w:rPr>
          <w:spacing w:val="-3"/>
          <w:sz w:val="20"/>
        </w:rPr>
        <w:t xml:space="preserve"> </w:t>
      </w:r>
      <w:r>
        <w:rPr>
          <w:sz w:val="20"/>
        </w:rPr>
        <w:t>the Services in any other manner that poses a security or service risk.</w:t>
      </w:r>
    </w:p>
    <w:p w14:paraId="5F9B6453" w14:textId="77777777" w:rsidR="005D6D17" w:rsidRDefault="0072097F">
      <w:pPr>
        <w:pStyle w:val="ListParagraph"/>
        <w:numPr>
          <w:ilvl w:val="0"/>
          <w:numId w:val="1"/>
        </w:numPr>
        <w:tabs>
          <w:tab w:val="left" w:pos="839"/>
        </w:tabs>
        <w:spacing w:line="244" w:lineRule="exact"/>
        <w:ind w:left="839"/>
        <w:rPr>
          <w:sz w:val="20"/>
        </w:rPr>
      </w:pPr>
      <w:r>
        <w:rPr>
          <w:sz w:val="20"/>
        </w:rPr>
        <w:t>Reverse-engineering</w:t>
      </w:r>
      <w:r>
        <w:rPr>
          <w:spacing w:val="-10"/>
          <w:sz w:val="20"/>
        </w:rPr>
        <w:t xml:space="preserve"> </w:t>
      </w:r>
      <w:r>
        <w:rPr>
          <w:sz w:val="20"/>
        </w:rPr>
        <w:t>the</w:t>
      </w:r>
      <w:r>
        <w:rPr>
          <w:spacing w:val="-10"/>
          <w:sz w:val="20"/>
        </w:rPr>
        <w:t xml:space="preserve"> </w:t>
      </w:r>
      <w:r>
        <w:rPr>
          <w:sz w:val="20"/>
        </w:rPr>
        <w:t>Services</w:t>
      </w:r>
      <w:r>
        <w:rPr>
          <w:spacing w:val="-9"/>
          <w:sz w:val="20"/>
        </w:rPr>
        <w:t xml:space="preserve"> </w:t>
      </w:r>
      <w:r>
        <w:rPr>
          <w:sz w:val="20"/>
        </w:rPr>
        <w:t>for</w:t>
      </w:r>
      <w:r>
        <w:rPr>
          <w:spacing w:val="-9"/>
          <w:sz w:val="20"/>
        </w:rPr>
        <w:t xml:space="preserve"> </w:t>
      </w:r>
      <w:r>
        <w:rPr>
          <w:sz w:val="20"/>
        </w:rPr>
        <w:t>any</w:t>
      </w:r>
      <w:r>
        <w:rPr>
          <w:spacing w:val="-6"/>
          <w:sz w:val="20"/>
        </w:rPr>
        <w:t xml:space="preserve"> </w:t>
      </w:r>
      <w:r>
        <w:rPr>
          <w:sz w:val="20"/>
        </w:rPr>
        <w:t>improper</w:t>
      </w:r>
      <w:r>
        <w:rPr>
          <w:spacing w:val="-9"/>
          <w:sz w:val="20"/>
        </w:rPr>
        <w:t xml:space="preserve"> </w:t>
      </w:r>
      <w:r>
        <w:rPr>
          <w:spacing w:val="-2"/>
          <w:sz w:val="20"/>
        </w:rPr>
        <w:t>purpose.</w:t>
      </w:r>
    </w:p>
    <w:p w14:paraId="6764A110" w14:textId="77777777" w:rsidR="005D6D17" w:rsidRDefault="0072097F">
      <w:pPr>
        <w:pStyle w:val="ListParagraph"/>
        <w:numPr>
          <w:ilvl w:val="0"/>
          <w:numId w:val="1"/>
        </w:numPr>
        <w:tabs>
          <w:tab w:val="left" w:pos="839"/>
        </w:tabs>
        <w:spacing w:line="237" w:lineRule="auto"/>
        <w:ind w:left="839" w:right="117"/>
        <w:rPr>
          <w:sz w:val="20"/>
        </w:rPr>
      </w:pPr>
      <w:r>
        <w:rPr>
          <w:sz w:val="20"/>
        </w:rPr>
        <w:t>Using</w:t>
      </w:r>
      <w:r>
        <w:rPr>
          <w:spacing w:val="-4"/>
          <w:sz w:val="20"/>
        </w:rPr>
        <w:t xml:space="preserve"> </w:t>
      </w:r>
      <w:r>
        <w:rPr>
          <w:sz w:val="20"/>
        </w:rPr>
        <w:t>the</w:t>
      </w:r>
      <w:r>
        <w:rPr>
          <w:spacing w:val="-2"/>
          <w:sz w:val="20"/>
        </w:rPr>
        <w:t xml:space="preserve"> </w:t>
      </w:r>
      <w:r>
        <w:rPr>
          <w:sz w:val="20"/>
        </w:rPr>
        <w:t>Services</w:t>
      </w:r>
      <w:r>
        <w:rPr>
          <w:spacing w:val="-3"/>
          <w:sz w:val="20"/>
        </w:rPr>
        <w:t xml:space="preserve"> </w:t>
      </w:r>
      <w:r>
        <w:rPr>
          <w:sz w:val="20"/>
        </w:rPr>
        <w:t>in</w:t>
      </w:r>
      <w:r>
        <w:rPr>
          <w:spacing w:val="-4"/>
          <w:sz w:val="20"/>
        </w:rPr>
        <w:t xml:space="preserve"> </w:t>
      </w:r>
      <w:r>
        <w:rPr>
          <w:sz w:val="20"/>
        </w:rPr>
        <w:t>any</w:t>
      </w:r>
      <w:r>
        <w:rPr>
          <w:spacing w:val="-3"/>
          <w:sz w:val="20"/>
        </w:rPr>
        <w:t xml:space="preserve"> </w:t>
      </w:r>
      <w:r>
        <w:rPr>
          <w:sz w:val="20"/>
        </w:rPr>
        <w:t>manner</w:t>
      </w:r>
      <w:r>
        <w:rPr>
          <w:spacing w:val="-3"/>
          <w:sz w:val="20"/>
        </w:rPr>
        <w:t xml:space="preserve"> </w:t>
      </w:r>
      <w:r>
        <w:rPr>
          <w:sz w:val="20"/>
        </w:rPr>
        <w:t>that</w:t>
      </w:r>
      <w:r>
        <w:rPr>
          <w:spacing w:val="-4"/>
          <w:sz w:val="20"/>
        </w:rPr>
        <w:t xml:space="preserve"> </w:t>
      </w:r>
      <w:r>
        <w:rPr>
          <w:sz w:val="20"/>
        </w:rPr>
        <w:t>may</w:t>
      </w:r>
      <w:r>
        <w:rPr>
          <w:spacing w:val="-3"/>
          <w:sz w:val="20"/>
        </w:rPr>
        <w:t xml:space="preserve"> </w:t>
      </w:r>
      <w:r>
        <w:rPr>
          <w:sz w:val="20"/>
        </w:rPr>
        <w:t>subject</w:t>
      </w:r>
      <w:r>
        <w:rPr>
          <w:spacing w:val="-4"/>
          <w:sz w:val="20"/>
        </w:rPr>
        <w:t xml:space="preserve"> </w:t>
      </w:r>
      <w:r>
        <w:rPr>
          <w:sz w:val="20"/>
        </w:rPr>
        <w:t>BBD</w:t>
      </w:r>
      <w:r>
        <w:rPr>
          <w:spacing w:val="-3"/>
          <w:sz w:val="20"/>
        </w:rPr>
        <w:t xml:space="preserve"> </w:t>
      </w:r>
      <w:r>
        <w:rPr>
          <w:sz w:val="20"/>
        </w:rPr>
        <w:t>or</w:t>
      </w:r>
      <w:r>
        <w:rPr>
          <w:spacing w:val="-1"/>
          <w:sz w:val="20"/>
        </w:rPr>
        <w:t xml:space="preserve"> </w:t>
      </w:r>
      <w:r>
        <w:rPr>
          <w:sz w:val="20"/>
        </w:rPr>
        <w:t>any</w:t>
      </w:r>
      <w:r>
        <w:rPr>
          <w:spacing w:val="-3"/>
          <w:sz w:val="20"/>
        </w:rPr>
        <w:t xml:space="preserve"> </w:t>
      </w:r>
      <w:r>
        <w:rPr>
          <w:sz w:val="20"/>
        </w:rPr>
        <w:t>third</w:t>
      </w:r>
      <w:r>
        <w:rPr>
          <w:spacing w:val="-4"/>
          <w:sz w:val="20"/>
        </w:rPr>
        <w:t xml:space="preserve"> </w:t>
      </w:r>
      <w:r>
        <w:rPr>
          <w:sz w:val="20"/>
        </w:rPr>
        <w:t>party</w:t>
      </w:r>
      <w:r>
        <w:rPr>
          <w:spacing w:val="-3"/>
          <w:sz w:val="20"/>
        </w:rPr>
        <w:t xml:space="preserve"> </w:t>
      </w:r>
      <w:r>
        <w:rPr>
          <w:sz w:val="20"/>
        </w:rPr>
        <w:t>to</w:t>
      </w:r>
      <w:r>
        <w:rPr>
          <w:spacing w:val="-2"/>
          <w:sz w:val="20"/>
        </w:rPr>
        <w:t xml:space="preserve"> </w:t>
      </w:r>
      <w:r>
        <w:rPr>
          <w:sz w:val="20"/>
        </w:rPr>
        <w:t>liability,</w:t>
      </w:r>
      <w:r>
        <w:rPr>
          <w:spacing w:val="-4"/>
          <w:sz w:val="20"/>
        </w:rPr>
        <w:t xml:space="preserve"> </w:t>
      </w:r>
      <w:r>
        <w:rPr>
          <w:sz w:val="20"/>
        </w:rPr>
        <w:t>damages,</w:t>
      </w:r>
      <w:r>
        <w:rPr>
          <w:spacing w:val="-4"/>
          <w:sz w:val="20"/>
        </w:rPr>
        <w:t xml:space="preserve"> </w:t>
      </w:r>
      <w:r>
        <w:rPr>
          <w:sz w:val="20"/>
        </w:rPr>
        <w:t xml:space="preserve">or </w:t>
      </w:r>
      <w:r>
        <w:rPr>
          <w:spacing w:val="-2"/>
          <w:sz w:val="20"/>
        </w:rPr>
        <w:t>danger.</w:t>
      </w:r>
    </w:p>
    <w:p w14:paraId="1A83C5A5" w14:textId="77777777" w:rsidR="005D6D17" w:rsidRDefault="0072097F">
      <w:pPr>
        <w:pStyle w:val="ListParagraph"/>
        <w:numPr>
          <w:ilvl w:val="0"/>
          <w:numId w:val="1"/>
        </w:numPr>
        <w:tabs>
          <w:tab w:val="left" w:pos="838"/>
        </w:tabs>
        <w:ind w:left="838" w:right="444"/>
        <w:rPr>
          <w:sz w:val="20"/>
        </w:rPr>
      </w:pPr>
      <w:r>
        <w:rPr>
          <w:sz w:val="20"/>
        </w:rPr>
        <w:t>Launching</w:t>
      </w:r>
      <w:r>
        <w:rPr>
          <w:spacing w:val="-4"/>
          <w:sz w:val="20"/>
        </w:rPr>
        <w:t xml:space="preserve"> </w:t>
      </w:r>
      <w:r>
        <w:rPr>
          <w:sz w:val="20"/>
        </w:rPr>
        <w:t>or</w:t>
      </w:r>
      <w:r>
        <w:rPr>
          <w:spacing w:val="-3"/>
          <w:sz w:val="20"/>
        </w:rPr>
        <w:t xml:space="preserve"> </w:t>
      </w:r>
      <w:r>
        <w:rPr>
          <w:sz w:val="20"/>
        </w:rPr>
        <w:t>facilitating</w:t>
      </w:r>
      <w:r>
        <w:rPr>
          <w:spacing w:val="-4"/>
          <w:sz w:val="20"/>
        </w:rPr>
        <w:t xml:space="preserve"> </w:t>
      </w:r>
      <w:r>
        <w:rPr>
          <w:sz w:val="20"/>
        </w:rPr>
        <w:t>a</w:t>
      </w:r>
      <w:r>
        <w:rPr>
          <w:spacing w:val="-2"/>
          <w:sz w:val="20"/>
        </w:rPr>
        <w:t xml:space="preserve"> </w:t>
      </w:r>
      <w:r>
        <w:rPr>
          <w:sz w:val="20"/>
        </w:rPr>
        <w:t>denial-of-service</w:t>
      </w:r>
      <w:r>
        <w:rPr>
          <w:spacing w:val="-2"/>
          <w:sz w:val="20"/>
        </w:rPr>
        <w:t xml:space="preserve"> </w:t>
      </w:r>
      <w:r>
        <w:rPr>
          <w:sz w:val="20"/>
        </w:rPr>
        <w:t>attack</w:t>
      </w:r>
      <w:r>
        <w:rPr>
          <w:spacing w:val="-3"/>
          <w:sz w:val="20"/>
        </w:rPr>
        <w:t xml:space="preserve"> </w:t>
      </w:r>
      <w:r>
        <w:rPr>
          <w:sz w:val="20"/>
        </w:rPr>
        <w:t>on</w:t>
      </w:r>
      <w:r>
        <w:rPr>
          <w:spacing w:val="-2"/>
          <w:sz w:val="20"/>
        </w:rPr>
        <w:t xml:space="preserve"> </w:t>
      </w:r>
      <w:r>
        <w:rPr>
          <w:sz w:val="20"/>
        </w:rPr>
        <w:t>any</w:t>
      </w:r>
      <w:r>
        <w:rPr>
          <w:spacing w:val="-3"/>
          <w:sz w:val="20"/>
        </w:rPr>
        <w:t xml:space="preserve"> </w:t>
      </w:r>
      <w:r>
        <w:rPr>
          <w:sz w:val="20"/>
        </w:rPr>
        <w:t>of</w:t>
      </w:r>
      <w:r>
        <w:rPr>
          <w:spacing w:val="-4"/>
          <w:sz w:val="20"/>
        </w:rPr>
        <w:t xml:space="preserve"> </w:t>
      </w:r>
      <w:r>
        <w:rPr>
          <w:sz w:val="20"/>
        </w:rPr>
        <w:t>the</w:t>
      </w:r>
      <w:r>
        <w:rPr>
          <w:spacing w:val="-4"/>
          <w:sz w:val="20"/>
        </w:rPr>
        <w:t xml:space="preserve"> </w:t>
      </w:r>
      <w:r>
        <w:rPr>
          <w:sz w:val="20"/>
        </w:rPr>
        <w:t>Services</w:t>
      </w:r>
      <w:r>
        <w:rPr>
          <w:spacing w:val="-3"/>
          <w:sz w:val="20"/>
        </w:rPr>
        <w:t xml:space="preserve"> </w:t>
      </w:r>
      <w:r>
        <w:rPr>
          <w:sz w:val="20"/>
        </w:rPr>
        <w:t>or</w:t>
      </w:r>
      <w:r>
        <w:rPr>
          <w:spacing w:val="-3"/>
          <w:sz w:val="20"/>
        </w:rPr>
        <w:t xml:space="preserve"> </w:t>
      </w:r>
      <w:r>
        <w:rPr>
          <w:sz w:val="20"/>
        </w:rPr>
        <w:t>any</w:t>
      </w:r>
      <w:r>
        <w:rPr>
          <w:spacing w:val="-3"/>
          <w:sz w:val="20"/>
        </w:rPr>
        <w:t xml:space="preserve"> </w:t>
      </w:r>
      <w:r>
        <w:rPr>
          <w:sz w:val="20"/>
        </w:rPr>
        <w:t>other</w:t>
      </w:r>
      <w:r>
        <w:rPr>
          <w:spacing w:val="-3"/>
          <w:sz w:val="20"/>
        </w:rPr>
        <w:t xml:space="preserve"> </w:t>
      </w:r>
      <w:r>
        <w:rPr>
          <w:sz w:val="20"/>
        </w:rPr>
        <w:t>conduct that adversely impacts the availability, reliability, or stability of the Services.</w:t>
      </w:r>
    </w:p>
    <w:p w14:paraId="4C4214D2" w14:textId="77777777" w:rsidR="005D6D17" w:rsidRDefault="0072097F">
      <w:pPr>
        <w:pStyle w:val="ListParagraph"/>
        <w:numPr>
          <w:ilvl w:val="0"/>
          <w:numId w:val="1"/>
        </w:numPr>
        <w:tabs>
          <w:tab w:val="left" w:pos="838"/>
        </w:tabs>
        <w:spacing w:before="1" w:line="237" w:lineRule="auto"/>
        <w:ind w:left="838" w:right="406"/>
        <w:rPr>
          <w:sz w:val="20"/>
        </w:rPr>
      </w:pPr>
      <w:r>
        <w:rPr>
          <w:sz w:val="20"/>
        </w:rPr>
        <w:t>Transmitting</w:t>
      </w:r>
      <w:r>
        <w:rPr>
          <w:spacing w:val="-3"/>
          <w:sz w:val="20"/>
        </w:rPr>
        <w:t xml:space="preserve"> </w:t>
      </w:r>
      <w:r>
        <w:rPr>
          <w:sz w:val="20"/>
        </w:rPr>
        <w:t>any</w:t>
      </w:r>
      <w:r>
        <w:rPr>
          <w:spacing w:val="-1"/>
          <w:sz w:val="20"/>
        </w:rPr>
        <w:t xml:space="preserve"> </w:t>
      </w:r>
      <w:r>
        <w:rPr>
          <w:sz w:val="20"/>
        </w:rPr>
        <w:t>material</w:t>
      </w:r>
      <w:r>
        <w:rPr>
          <w:spacing w:val="-6"/>
          <w:sz w:val="20"/>
        </w:rPr>
        <w:t xml:space="preserve"> </w:t>
      </w:r>
      <w:r>
        <w:rPr>
          <w:sz w:val="20"/>
        </w:rPr>
        <w:t>that</w:t>
      </w:r>
      <w:r>
        <w:rPr>
          <w:spacing w:val="-5"/>
          <w:sz w:val="20"/>
        </w:rPr>
        <w:t xml:space="preserve"> </w:t>
      </w:r>
      <w:r>
        <w:rPr>
          <w:sz w:val="20"/>
        </w:rPr>
        <w:t>contains</w:t>
      </w:r>
      <w:r>
        <w:rPr>
          <w:spacing w:val="-4"/>
          <w:sz w:val="20"/>
        </w:rPr>
        <w:t xml:space="preserve"> </w:t>
      </w:r>
      <w:r>
        <w:rPr>
          <w:sz w:val="20"/>
        </w:rPr>
        <w:t>viruses,</w:t>
      </w:r>
      <w:r>
        <w:rPr>
          <w:spacing w:val="-5"/>
          <w:sz w:val="20"/>
        </w:rPr>
        <w:t xml:space="preserve"> </w:t>
      </w:r>
      <w:r>
        <w:rPr>
          <w:sz w:val="20"/>
        </w:rPr>
        <w:t>trojan</w:t>
      </w:r>
      <w:r>
        <w:rPr>
          <w:spacing w:val="-3"/>
          <w:sz w:val="20"/>
        </w:rPr>
        <w:t xml:space="preserve"> </w:t>
      </w:r>
      <w:r>
        <w:rPr>
          <w:sz w:val="20"/>
        </w:rPr>
        <w:t>horses,</w:t>
      </w:r>
      <w:r>
        <w:rPr>
          <w:spacing w:val="-5"/>
          <w:sz w:val="20"/>
        </w:rPr>
        <w:t xml:space="preserve"> </w:t>
      </w:r>
      <w:r>
        <w:rPr>
          <w:sz w:val="20"/>
        </w:rPr>
        <w:t>worms</w:t>
      </w:r>
      <w:r>
        <w:rPr>
          <w:spacing w:val="-4"/>
          <w:sz w:val="20"/>
        </w:rPr>
        <w:t xml:space="preserve"> </w:t>
      </w:r>
      <w:r>
        <w:rPr>
          <w:sz w:val="20"/>
        </w:rPr>
        <w:t>or</w:t>
      </w:r>
      <w:r>
        <w:rPr>
          <w:spacing w:val="-2"/>
          <w:sz w:val="20"/>
        </w:rPr>
        <w:t xml:space="preserve"> </w:t>
      </w:r>
      <w:r>
        <w:rPr>
          <w:sz w:val="20"/>
        </w:rPr>
        <w:t>any</w:t>
      </w:r>
      <w:r>
        <w:rPr>
          <w:spacing w:val="-4"/>
          <w:sz w:val="20"/>
        </w:rPr>
        <w:t xml:space="preserve"> </w:t>
      </w:r>
      <w:r>
        <w:rPr>
          <w:sz w:val="20"/>
        </w:rPr>
        <w:t>other</w:t>
      </w:r>
      <w:r>
        <w:rPr>
          <w:spacing w:val="-2"/>
          <w:sz w:val="20"/>
        </w:rPr>
        <w:t xml:space="preserve"> </w:t>
      </w:r>
      <w:r>
        <w:rPr>
          <w:sz w:val="20"/>
        </w:rPr>
        <w:t>malicious</w:t>
      </w:r>
      <w:r>
        <w:rPr>
          <w:spacing w:val="-4"/>
          <w:sz w:val="20"/>
        </w:rPr>
        <w:t xml:space="preserve"> </w:t>
      </w:r>
      <w:r>
        <w:rPr>
          <w:sz w:val="20"/>
        </w:rPr>
        <w:t>or harmful programs.</w:t>
      </w:r>
    </w:p>
    <w:p w14:paraId="1E2599E0" w14:textId="77777777" w:rsidR="005D6D17" w:rsidRDefault="0072097F">
      <w:pPr>
        <w:pStyle w:val="ListParagraph"/>
        <w:numPr>
          <w:ilvl w:val="0"/>
          <w:numId w:val="1"/>
        </w:numPr>
        <w:tabs>
          <w:tab w:val="left" w:pos="838"/>
        </w:tabs>
        <w:spacing w:before="1"/>
        <w:ind w:left="838" w:right="126"/>
        <w:rPr>
          <w:sz w:val="20"/>
        </w:rPr>
      </w:pPr>
      <w:r>
        <w:rPr>
          <w:sz w:val="20"/>
        </w:rPr>
        <w:t>Using</w:t>
      </w:r>
      <w:r>
        <w:rPr>
          <w:spacing w:val="-5"/>
          <w:sz w:val="20"/>
        </w:rPr>
        <w:t xml:space="preserve"> </w:t>
      </w:r>
      <w:r>
        <w:rPr>
          <w:sz w:val="20"/>
        </w:rPr>
        <w:t>the</w:t>
      </w:r>
      <w:r>
        <w:rPr>
          <w:spacing w:val="-3"/>
          <w:sz w:val="20"/>
        </w:rPr>
        <w:t xml:space="preserve"> </w:t>
      </w:r>
      <w:r>
        <w:rPr>
          <w:sz w:val="20"/>
        </w:rPr>
        <w:t>Services</w:t>
      </w:r>
      <w:r>
        <w:rPr>
          <w:spacing w:val="-4"/>
          <w:sz w:val="20"/>
        </w:rPr>
        <w:t xml:space="preserve"> </w:t>
      </w:r>
      <w:r>
        <w:rPr>
          <w:sz w:val="20"/>
        </w:rPr>
        <w:t>to</w:t>
      </w:r>
      <w:r>
        <w:rPr>
          <w:spacing w:val="-3"/>
          <w:sz w:val="20"/>
        </w:rPr>
        <w:t xml:space="preserve"> </w:t>
      </w:r>
      <w:r>
        <w:rPr>
          <w:sz w:val="20"/>
        </w:rPr>
        <w:t>receive,</w:t>
      </w:r>
      <w:r>
        <w:rPr>
          <w:spacing w:val="-5"/>
          <w:sz w:val="20"/>
        </w:rPr>
        <w:t xml:space="preserve"> </w:t>
      </w:r>
      <w:r>
        <w:rPr>
          <w:sz w:val="20"/>
        </w:rPr>
        <w:t>send</w:t>
      </w:r>
      <w:r>
        <w:rPr>
          <w:spacing w:val="-3"/>
          <w:sz w:val="20"/>
        </w:rPr>
        <w:t xml:space="preserve"> </w:t>
      </w:r>
      <w:r>
        <w:rPr>
          <w:sz w:val="20"/>
        </w:rPr>
        <w:t>or</w:t>
      </w:r>
      <w:r>
        <w:rPr>
          <w:spacing w:val="-4"/>
          <w:sz w:val="20"/>
        </w:rPr>
        <w:t xml:space="preserve"> </w:t>
      </w:r>
      <w:r>
        <w:rPr>
          <w:sz w:val="20"/>
        </w:rPr>
        <w:t>otherwise</w:t>
      </w:r>
      <w:r>
        <w:rPr>
          <w:spacing w:val="-3"/>
          <w:sz w:val="20"/>
        </w:rPr>
        <w:t xml:space="preserve"> </w:t>
      </w:r>
      <w:r>
        <w:rPr>
          <w:sz w:val="20"/>
        </w:rPr>
        <w:t>process</w:t>
      </w:r>
      <w:r>
        <w:rPr>
          <w:spacing w:val="-4"/>
          <w:sz w:val="20"/>
        </w:rPr>
        <w:t xml:space="preserve"> </w:t>
      </w:r>
      <w:r>
        <w:rPr>
          <w:sz w:val="20"/>
        </w:rPr>
        <w:t>Protected</w:t>
      </w:r>
      <w:r>
        <w:rPr>
          <w:spacing w:val="-5"/>
          <w:sz w:val="20"/>
        </w:rPr>
        <w:t xml:space="preserve"> </w:t>
      </w:r>
      <w:r>
        <w:rPr>
          <w:sz w:val="20"/>
        </w:rPr>
        <w:t>Health</w:t>
      </w:r>
      <w:r>
        <w:rPr>
          <w:spacing w:val="-5"/>
          <w:sz w:val="20"/>
        </w:rPr>
        <w:t xml:space="preserve"> </w:t>
      </w:r>
      <w:r>
        <w:rPr>
          <w:sz w:val="20"/>
        </w:rPr>
        <w:t>Information</w:t>
      </w:r>
      <w:r>
        <w:rPr>
          <w:spacing w:val="-3"/>
          <w:sz w:val="20"/>
        </w:rPr>
        <w:t xml:space="preserve"> </w:t>
      </w:r>
      <w:r>
        <w:rPr>
          <w:sz w:val="20"/>
        </w:rPr>
        <w:t>as</w:t>
      </w:r>
      <w:r>
        <w:rPr>
          <w:spacing w:val="-4"/>
          <w:sz w:val="20"/>
        </w:rPr>
        <w:t xml:space="preserve"> </w:t>
      </w:r>
      <w:r>
        <w:rPr>
          <w:sz w:val="20"/>
        </w:rPr>
        <w:t>defined by the</w:t>
      </w:r>
      <w:r>
        <w:rPr>
          <w:spacing w:val="-1"/>
          <w:sz w:val="20"/>
        </w:rPr>
        <w:t xml:space="preserve"> </w:t>
      </w:r>
      <w:r>
        <w:rPr>
          <w:sz w:val="20"/>
        </w:rPr>
        <w:t>Health</w:t>
      </w:r>
      <w:r>
        <w:rPr>
          <w:spacing w:val="-1"/>
          <w:sz w:val="20"/>
        </w:rPr>
        <w:t xml:space="preserve"> </w:t>
      </w:r>
      <w:r>
        <w:rPr>
          <w:sz w:val="20"/>
        </w:rPr>
        <w:t>Insurance Portability and Accountability Act</w:t>
      </w:r>
      <w:r>
        <w:rPr>
          <w:spacing w:val="-1"/>
          <w:sz w:val="20"/>
        </w:rPr>
        <w:t xml:space="preserve"> </w:t>
      </w:r>
      <w:r>
        <w:rPr>
          <w:sz w:val="20"/>
        </w:rPr>
        <w:t>of 1996,</w:t>
      </w:r>
      <w:r>
        <w:rPr>
          <w:spacing w:val="-1"/>
          <w:sz w:val="20"/>
        </w:rPr>
        <w:t xml:space="preserve"> </w:t>
      </w:r>
      <w:r>
        <w:rPr>
          <w:sz w:val="20"/>
        </w:rPr>
        <w:t>as amended,</w:t>
      </w:r>
      <w:r>
        <w:rPr>
          <w:spacing w:val="-1"/>
          <w:sz w:val="20"/>
        </w:rPr>
        <w:t xml:space="preserve"> </w:t>
      </w:r>
      <w:r>
        <w:rPr>
          <w:sz w:val="20"/>
        </w:rPr>
        <w:t xml:space="preserve">unless you have signed a Business Associate Agreement with </w:t>
      </w:r>
      <w:proofErr w:type="gramStart"/>
      <w:r>
        <w:rPr>
          <w:sz w:val="20"/>
        </w:rPr>
        <w:t>BBD</w:t>
      </w:r>
      <w:proofErr w:type="gramEnd"/>
      <w:r>
        <w:rPr>
          <w:sz w:val="20"/>
        </w:rPr>
        <w:t xml:space="preserve"> or your use of the Services fits within an exception for requiring a Business Associate Agreement.</w:t>
      </w:r>
    </w:p>
    <w:p w14:paraId="7797FC25" w14:textId="33137267" w:rsidR="005C66D6" w:rsidRDefault="005C66D6">
      <w:pPr>
        <w:pStyle w:val="ListParagraph"/>
        <w:numPr>
          <w:ilvl w:val="0"/>
          <w:numId w:val="1"/>
        </w:numPr>
        <w:tabs>
          <w:tab w:val="left" w:pos="838"/>
        </w:tabs>
        <w:spacing w:before="1"/>
        <w:ind w:left="838" w:right="126"/>
        <w:rPr>
          <w:sz w:val="20"/>
        </w:rPr>
      </w:pPr>
      <w:r w:rsidRPr="005C66D6">
        <w:rPr>
          <w:sz w:val="20"/>
        </w:rPr>
        <w:t>Using the Services to store or save credit card information, financial account information, social security numbers, or other information that could be used for fraud or identity theft.</w:t>
      </w:r>
    </w:p>
    <w:p w14:paraId="238CFB32" w14:textId="77777777" w:rsidR="005D6D17" w:rsidRDefault="0072097F">
      <w:pPr>
        <w:pStyle w:val="ListParagraph"/>
        <w:numPr>
          <w:ilvl w:val="0"/>
          <w:numId w:val="1"/>
        </w:numPr>
        <w:tabs>
          <w:tab w:val="left" w:pos="838"/>
        </w:tabs>
        <w:spacing w:before="1" w:line="237" w:lineRule="auto"/>
        <w:ind w:left="838" w:right="329"/>
        <w:rPr>
          <w:sz w:val="20"/>
        </w:rPr>
      </w:pPr>
      <w:r>
        <w:rPr>
          <w:sz w:val="20"/>
        </w:rPr>
        <w:t>Using</w:t>
      </w:r>
      <w:r>
        <w:rPr>
          <w:spacing w:val="-5"/>
          <w:sz w:val="20"/>
        </w:rPr>
        <w:t xml:space="preserve"> </w:t>
      </w:r>
      <w:r>
        <w:rPr>
          <w:sz w:val="20"/>
        </w:rPr>
        <w:t>the</w:t>
      </w:r>
      <w:r>
        <w:rPr>
          <w:spacing w:val="-3"/>
          <w:sz w:val="20"/>
        </w:rPr>
        <w:t xml:space="preserve"> </w:t>
      </w:r>
      <w:r>
        <w:rPr>
          <w:sz w:val="20"/>
        </w:rPr>
        <w:t>Services</w:t>
      </w:r>
      <w:r>
        <w:rPr>
          <w:spacing w:val="-4"/>
          <w:sz w:val="20"/>
        </w:rPr>
        <w:t xml:space="preserve"> </w:t>
      </w:r>
      <w:r>
        <w:rPr>
          <w:sz w:val="20"/>
        </w:rPr>
        <w:t>to</w:t>
      </w:r>
      <w:r>
        <w:rPr>
          <w:spacing w:val="-3"/>
          <w:sz w:val="20"/>
        </w:rPr>
        <w:t xml:space="preserve"> </w:t>
      </w:r>
      <w:r>
        <w:rPr>
          <w:sz w:val="20"/>
        </w:rPr>
        <w:t>transmit</w:t>
      </w:r>
      <w:r>
        <w:rPr>
          <w:spacing w:val="-3"/>
          <w:sz w:val="20"/>
        </w:rPr>
        <w:t xml:space="preserve"> </w:t>
      </w:r>
      <w:r>
        <w:rPr>
          <w:sz w:val="20"/>
        </w:rPr>
        <w:t>any</w:t>
      </w:r>
      <w:r>
        <w:rPr>
          <w:spacing w:val="-4"/>
          <w:sz w:val="20"/>
        </w:rPr>
        <w:t xml:space="preserve"> </w:t>
      </w:r>
      <w:r>
        <w:rPr>
          <w:sz w:val="20"/>
        </w:rPr>
        <w:t>material</w:t>
      </w:r>
      <w:r>
        <w:rPr>
          <w:spacing w:val="-6"/>
          <w:sz w:val="20"/>
        </w:rPr>
        <w:t xml:space="preserve"> </w:t>
      </w:r>
      <w:r>
        <w:rPr>
          <w:sz w:val="20"/>
        </w:rPr>
        <w:t>that</w:t>
      </w:r>
      <w:r>
        <w:rPr>
          <w:spacing w:val="-3"/>
          <w:sz w:val="20"/>
        </w:rPr>
        <w:t xml:space="preserve"> </w:t>
      </w:r>
      <w:r>
        <w:rPr>
          <w:sz w:val="20"/>
        </w:rPr>
        <w:t>infringes</w:t>
      </w:r>
      <w:r>
        <w:rPr>
          <w:spacing w:val="-4"/>
          <w:sz w:val="20"/>
        </w:rPr>
        <w:t xml:space="preserve"> </w:t>
      </w:r>
      <w:r>
        <w:rPr>
          <w:sz w:val="20"/>
        </w:rPr>
        <w:t>the</w:t>
      </w:r>
      <w:r>
        <w:rPr>
          <w:spacing w:val="-3"/>
          <w:sz w:val="20"/>
        </w:rPr>
        <w:t xml:space="preserve"> </w:t>
      </w:r>
      <w:r>
        <w:rPr>
          <w:sz w:val="20"/>
        </w:rPr>
        <w:t>intellectual</w:t>
      </w:r>
      <w:r>
        <w:rPr>
          <w:spacing w:val="-6"/>
          <w:sz w:val="20"/>
        </w:rPr>
        <w:t xml:space="preserve"> </w:t>
      </w:r>
      <w:r>
        <w:rPr>
          <w:sz w:val="20"/>
        </w:rPr>
        <w:t>property</w:t>
      </w:r>
      <w:r>
        <w:rPr>
          <w:spacing w:val="-1"/>
          <w:sz w:val="20"/>
        </w:rPr>
        <w:t xml:space="preserve"> </w:t>
      </w:r>
      <w:r>
        <w:rPr>
          <w:sz w:val="20"/>
        </w:rPr>
        <w:t>rights</w:t>
      </w:r>
      <w:r>
        <w:rPr>
          <w:spacing w:val="-4"/>
          <w:sz w:val="20"/>
        </w:rPr>
        <w:t xml:space="preserve"> </w:t>
      </w:r>
      <w:r>
        <w:rPr>
          <w:sz w:val="20"/>
        </w:rPr>
        <w:t>or</w:t>
      </w:r>
      <w:r>
        <w:rPr>
          <w:spacing w:val="-2"/>
          <w:sz w:val="20"/>
        </w:rPr>
        <w:t xml:space="preserve"> </w:t>
      </w:r>
      <w:r>
        <w:rPr>
          <w:sz w:val="20"/>
        </w:rPr>
        <w:t>other rights of third parties.</w:t>
      </w:r>
    </w:p>
    <w:p w14:paraId="728D7850" w14:textId="77777777" w:rsidR="005D6D17" w:rsidRDefault="0072097F">
      <w:pPr>
        <w:pStyle w:val="ListParagraph"/>
        <w:numPr>
          <w:ilvl w:val="0"/>
          <w:numId w:val="1"/>
        </w:numPr>
        <w:tabs>
          <w:tab w:val="left" w:pos="838"/>
        </w:tabs>
        <w:spacing w:before="3" w:line="237" w:lineRule="auto"/>
        <w:ind w:left="838" w:right="871"/>
        <w:rPr>
          <w:sz w:val="20"/>
        </w:rPr>
      </w:pPr>
      <w:r>
        <w:rPr>
          <w:sz w:val="20"/>
        </w:rPr>
        <w:t>Using</w:t>
      </w:r>
      <w:r>
        <w:rPr>
          <w:spacing w:val="-5"/>
          <w:sz w:val="20"/>
        </w:rPr>
        <w:t xml:space="preserve"> </w:t>
      </w:r>
      <w:r>
        <w:rPr>
          <w:sz w:val="20"/>
        </w:rPr>
        <w:t>the</w:t>
      </w:r>
      <w:r>
        <w:rPr>
          <w:spacing w:val="-3"/>
          <w:sz w:val="20"/>
        </w:rPr>
        <w:t xml:space="preserve"> </w:t>
      </w:r>
      <w:r>
        <w:rPr>
          <w:sz w:val="20"/>
        </w:rPr>
        <w:t>Services</w:t>
      </w:r>
      <w:r>
        <w:rPr>
          <w:spacing w:val="-4"/>
          <w:sz w:val="20"/>
        </w:rPr>
        <w:t xml:space="preserve"> </w:t>
      </w:r>
      <w:r>
        <w:rPr>
          <w:sz w:val="20"/>
        </w:rPr>
        <w:t>to</w:t>
      </w:r>
      <w:r>
        <w:rPr>
          <w:spacing w:val="-3"/>
          <w:sz w:val="20"/>
        </w:rPr>
        <w:t xml:space="preserve"> </w:t>
      </w:r>
      <w:r>
        <w:rPr>
          <w:sz w:val="20"/>
        </w:rPr>
        <w:t>transmit</w:t>
      </w:r>
      <w:r>
        <w:rPr>
          <w:spacing w:val="-3"/>
          <w:sz w:val="20"/>
        </w:rPr>
        <w:t xml:space="preserve"> </w:t>
      </w:r>
      <w:r>
        <w:rPr>
          <w:sz w:val="20"/>
        </w:rPr>
        <w:t>any</w:t>
      </w:r>
      <w:r>
        <w:rPr>
          <w:spacing w:val="-4"/>
          <w:sz w:val="20"/>
        </w:rPr>
        <w:t xml:space="preserve"> </w:t>
      </w:r>
      <w:r>
        <w:rPr>
          <w:sz w:val="20"/>
        </w:rPr>
        <w:t>material</w:t>
      </w:r>
      <w:r>
        <w:rPr>
          <w:spacing w:val="-5"/>
          <w:sz w:val="20"/>
        </w:rPr>
        <w:t xml:space="preserve"> </w:t>
      </w:r>
      <w:r>
        <w:rPr>
          <w:sz w:val="20"/>
        </w:rPr>
        <w:t>that</w:t>
      </w:r>
      <w:r>
        <w:rPr>
          <w:spacing w:val="-3"/>
          <w:sz w:val="20"/>
        </w:rPr>
        <w:t xml:space="preserve"> </w:t>
      </w:r>
      <w:r>
        <w:rPr>
          <w:sz w:val="20"/>
        </w:rPr>
        <w:t>is</w:t>
      </w:r>
      <w:r>
        <w:rPr>
          <w:spacing w:val="-4"/>
          <w:sz w:val="20"/>
        </w:rPr>
        <w:t xml:space="preserve"> </w:t>
      </w:r>
      <w:r>
        <w:rPr>
          <w:sz w:val="20"/>
        </w:rPr>
        <w:t>libelous,</w:t>
      </w:r>
      <w:r>
        <w:rPr>
          <w:spacing w:val="-5"/>
          <w:sz w:val="20"/>
        </w:rPr>
        <w:t xml:space="preserve"> </w:t>
      </w:r>
      <w:r>
        <w:rPr>
          <w:sz w:val="20"/>
        </w:rPr>
        <w:t>defamatory,</w:t>
      </w:r>
      <w:r>
        <w:rPr>
          <w:spacing w:val="-5"/>
          <w:sz w:val="20"/>
        </w:rPr>
        <w:t xml:space="preserve"> </w:t>
      </w:r>
      <w:r>
        <w:rPr>
          <w:sz w:val="20"/>
        </w:rPr>
        <w:t>discriminatory,</w:t>
      </w:r>
      <w:r>
        <w:rPr>
          <w:spacing w:val="-5"/>
          <w:sz w:val="20"/>
        </w:rPr>
        <w:t xml:space="preserve"> </w:t>
      </w:r>
      <w:r>
        <w:rPr>
          <w:sz w:val="20"/>
        </w:rPr>
        <w:t>or otherwise malicious or harmful to any person or entity.</w:t>
      </w:r>
    </w:p>
    <w:p w14:paraId="384D9C62" w14:textId="77777777" w:rsidR="005D6D17" w:rsidRDefault="0072097F">
      <w:pPr>
        <w:pStyle w:val="ListParagraph"/>
        <w:numPr>
          <w:ilvl w:val="0"/>
          <w:numId w:val="1"/>
        </w:numPr>
        <w:tabs>
          <w:tab w:val="left" w:pos="838"/>
        </w:tabs>
        <w:ind w:left="838" w:right="171"/>
        <w:rPr>
          <w:sz w:val="20"/>
        </w:rPr>
      </w:pPr>
      <w:r>
        <w:rPr>
          <w:sz w:val="20"/>
        </w:rPr>
        <w:t>Creating a false identity or forged email address or header, or phone number, or otherwise attempting to mislead others as to the identity of the sender or the origin of a message or phone call,</w:t>
      </w:r>
      <w:r>
        <w:rPr>
          <w:spacing w:val="-2"/>
          <w:sz w:val="20"/>
        </w:rPr>
        <w:t xml:space="preserve"> </w:t>
      </w:r>
      <w:r>
        <w:rPr>
          <w:sz w:val="20"/>
        </w:rPr>
        <w:t>including</w:t>
      </w:r>
      <w:r>
        <w:rPr>
          <w:spacing w:val="-2"/>
          <w:sz w:val="20"/>
        </w:rPr>
        <w:t xml:space="preserve"> </w:t>
      </w:r>
      <w:r>
        <w:rPr>
          <w:sz w:val="20"/>
        </w:rPr>
        <w:t>failing</w:t>
      </w:r>
      <w:r>
        <w:rPr>
          <w:spacing w:val="-2"/>
          <w:sz w:val="20"/>
        </w:rPr>
        <w:t xml:space="preserve"> </w:t>
      </w:r>
      <w:r>
        <w:rPr>
          <w:sz w:val="20"/>
        </w:rPr>
        <w:t>to</w:t>
      </w:r>
      <w:r>
        <w:rPr>
          <w:spacing w:val="-4"/>
          <w:sz w:val="20"/>
        </w:rPr>
        <w:t xml:space="preserve"> </w:t>
      </w:r>
      <w:r>
        <w:rPr>
          <w:sz w:val="20"/>
        </w:rPr>
        <w:t>comply</w:t>
      </w:r>
      <w:r>
        <w:rPr>
          <w:spacing w:val="-3"/>
          <w:sz w:val="20"/>
        </w:rPr>
        <w:t xml:space="preserve"> </w:t>
      </w:r>
      <w:r>
        <w:rPr>
          <w:sz w:val="20"/>
        </w:rPr>
        <w:t>with</w:t>
      </w:r>
      <w:r>
        <w:rPr>
          <w:spacing w:val="-4"/>
          <w:sz w:val="20"/>
        </w:rPr>
        <w:t xml:space="preserve"> </w:t>
      </w:r>
      <w:r>
        <w:rPr>
          <w:sz w:val="20"/>
        </w:rPr>
        <w:t>the</w:t>
      </w:r>
      <w:r>
        <w:rPr>
          <w:spacing w:val="-4"/>
          <w:sz w:val="20"/>
        </w:rPr>
        <w:t xml:space="preserve"> </w:t>
      </w:r>
      <w:r>
        <w:rPr>
          <w:sz w:val="20"/>
        </w:rPr>
        <w:t>Truth</w:t>
      </w:r>
      <w:r>
        <w:rPr>
          <w:spacing w:val="-4"/>
          <w:sz w:val="20"/>
        </w:rPr>
        <w:t xml:space="preserve"> </w:t>
      </w:r>
      <w:r>
        <w:rPr>
          <w:sz w:val="20"/>
        </w:rPr>
        <w:t>in</w:t>
      </w:r>
      <w:r>
        <w:rPr>
          <w:spacing w:val="-4"/>
          <w:sz w:val="20"/>
        </w:rPr>
        <w:t xml:space="preserve"> </w:t>
      </w:r>
      <w:r>
        <w:rPr>
          <w:sz w:val="20"/>
        </w:rPr>
        <w:t>Caller</w:t>
      </w:r>
      <w:r>
        <w:rPr>
          <w:spacing w:val="-3"/>
          <w:sz w:val="20"/>
        </w:rPr>
        <w:t xml:space="preserve"> </w:t>
      </w:r>
      <w:r>
        <w:rPr>
          <w:sz w:val="20"/>
        </w:rPr>
        <w:t>ID</w:t>
      </w:r>
      <w:r>
        <w:rPr>
          <w:spacing w:val="-3"/>
          <w:sz w:val="20"/>
        </w:rPr>
        <w:t xml:space="preserve"> </w:t>
      </w:r>
      <w:r>
        <w:rPr>
          <w:sz w:val="20"/>
        </w:rPr>
        <w:t>Act,</w:t>
      </w:r>
      <w:r>
        <w:rPr>
          <w:spacing w:val="-4"/>
          <w:sz w:val="20"/>
        </w:rPr>
        <w:t xml:space="preserve"> </w:t>
      </w:r>
      <w:r>
        <w:rPr>
          <w:sz w:val="20"/>
        </w:rPr>
        <w:t>47</w:t>
      </w:r>
      <w:r>
        <w:rPr>
          <w:spacing w:val="-4"/>
          <w:sz w:val="20"/>
        </w:rPr>
        <w:t xml:space="preserve"> </w:t>
      </w:r>
      <w:r>
        <w:rPr>
          <w:sz w:val="20"/>
        </w:rPr>
        <w:t>U.S.C.</w:t>
      </w:r>
      <w:r>
        <w:rPr>
          <w:spacing w:val="-1"/>
          <w:sz w:val="20"/>
        </w:rPr>
        <w:t xml:space="preserve"> </w:t>
      </w:r>
      <w:r>
        <w:rPr>
          <w:sz w:val="20"/>
        </w:rPr>
        <w:t>§</w:t>
      </w:r>
      <w:r>
        <w:rPr>
          <w:spacing w:val="-4"/>
          <w:sz w:val="20"/>
        </w:rPr>
        <w:t xml:space="preserve"> </w:t>
      </w:r>
      <w:r>
        <w:rPr>
          <w:sz w:val="20"/>
        </w:rPr>
        <w:t>227,</w:t>
      </w:r>
      <w:r>
        <w:rPr>
          <w:spacing w:val="-2"/>
          <w:sz w:val="20"/>
        </w:rPr>
        <w:t xml:space="preserve"> </w:t>
      </w:r>
      <w:r>
        <w:rPr>
          <w:sz w:val="20"/>
        </w:rPr>
        <w:t>and</w:t>
      </w:r>
      <w:r>
        <w:rPr>
          <w:spacing w:val="-4"/>
          <w:sz w:val="20"/>
        </w:rPr>
        <w:t xml:space="preserve"> </w:t>
      </w:r>
      <w:r>
        <w:rPr>
          <w:sz w:val="20"/>
        </w:rPr>
        <w:t>implementing regulations, 47 C.F.R. § 64.1600 et seq., or using the Services to facilitate a one-ring scam, as the</w:t>
      </w:r>
      <w:r>
        <w:rPr>
          <w:spacing w:val="-4"/>
          <w:sz w:val="20"/>
        </w:rPr>
        <w:t xml:space="preserve"> </w:t>
      </w:r>
      <w:r>
        <w:rPr>
          <w:sz w:val="20"/>
        </w:rPr>
        <w:t>FCC</w:t>
      </w:r>
      <w:r>
        <w:rPr>
          <w:spacing w:val="-1"/>
          <w:sz w:val="20"/>
        </w:rPr>
        <w:t xml:space="preserve"> </w:t>
      </w:r>
      <w:r>
        <w:rPr>
          <w:sz w:val="20"/>
        </w:rPr>
        <w:t>has</w:t>
      </w:r>
      <w:r>
        <w:rPr>
          <w:spacing w:val="-3"/>
          <w:sz w:val="20"/>
        </w:rPr>
        <w:t xml:space="preserve"> </w:t>
      </w:r>
      <w:r>
        <w:rPr>
          <w:sz w:val="20"/>
        </w:rPr>
        <w:t>defined</w:t>
      </w:r>
      <w:r>
        <w:rPr>
          <w:spacing w:val="-2"/>
          <w:sz w:val="20"/>
        </w:rPr>
        <w:t xml:space="preserve"> </w:t>
      </w:r>
      <w:r>
        <w:rPr>
          <w:sz w:val="20"/>
        </w:rPr>
        <w:t>that</w:t>
      </w:r>
      <w:r>
        <w:rPr>
          <w:spacing w:val="-4"/>
          <w:sz w:val="20"/>
        </w:rPr>
        <w:t xml:space="preserve"> </w:t>
      </w:r>
      <w:r>
        <w:rPr>
          <w:sz w:val="20"/>
        </w:rPr>
        <w:t>term</w:t>
      </w:r>
      <w:r>
        <w:rPr>
          <w:spacing w:val="-4"/>
          <w:sz w:val="20"/>
        </w:rPr>
        <w:t xml:space="preserve"> </w:t>
      </w:r>
      <w:r>
        <w:rPr>
          <w:sz w:val="20"/>
        </w:rPr>
        <w:t>(</w:t>
      </w:r>
      <w:r>
        <w:rPr>
          <w:i/>
          <w:sz w:val="20"/>
        </w:rPr>
        <w:t>see</w:t>
      </w:r>
      <w:r>
        <w:rPr>
          <w:i/>
          <w:spacing w:val="-4"/>
          <w:sz w:val="20"/>
        </w:rPr>
        <w:t xml:space="preserve"> </w:t>
      </w:r>
      <w:r>
        <w:rPr>
          <w:sz w:val="20"/>
        </w:rPr>
        <w:t>Report</w:t>
      </w:r>
      <w:r>
        <w:rPr>
          <w:spacing w:val="-4"/>
          <w:sz w:val="20"/>
        </w:rPr>
        <w:t xml:space="preserve"> </w:t>
      </w:r>
      <w:r>
        <w:rPr>
          <w:sz w:val="20"/>
        </w:rPr>
        <w:t>and</w:t>
      </w:r>
      <w:r>
        <w:rPr>
          <w:spacing w:val="-4"/>
          <w:sz w:val="20"/>
        </w:rPr>
        <w:t xml:space="preserve"> </w:t>
      </w:r>
      <w:r>
        <w:rPr>
          <w:sz w:val="20"/>
        </w:rPr>
        <w:t>Order,</w:t>
      </w:r>
      <w:r>
        <w:rPr>
          <w:spacing w:val="-2"/>
          <w:sz w:val="20"/>
        </w:rPr>
        <w:t xml:space="preserve"> </w:t>
      </w:r>
      <w:r>
        <w:rPr>
          <w:sz w:val="20"/>
        </w:rPr>
        <w:t>GC</w:t>
      </w:r>
      <w:r>
        <w:rPr>
          <w:spacing w:val="-4"/>
          <w:sz w:val="20"/>
        </w:rPr>
        <w:t xml:space="preserve"> </w:t>
      </w:r>
      <w:r>
        <w:rPr>
          <w:sz w:val="20"/>
        </w:rPr>
        <w:t>Docket</w:t>
      </w:r>
      <w:r>
        <w:rPr>
          <w:spacing w:val="-4"/>
          <w:sz w:val="20"/>
        </w:rPr>
        <w:t xml:space="preserve"> </w:t>
      </w:r>
      <w:r>
        <w:rPr>
          <w:sz w:val="20"/>
        </w:rPr>
        <w:t>No.</w:t>
      </w:r>
      <w:r>
        <w:rPr>
          <w:spacing w:val="-2"/>
          <w:sz w:val="20"/>
        </w:rPr>
        <w:t xml:space="preserve"> </w:t>
      </w:r>
      <w:r>
        <w:rPr>
          <w:sz w:val="20"/>
        </w:rPr>
        <w:t>20-93;</w:t>
      </w:r>
      <w:r>
        <w:rPr>
          <w:spacing w:val="-4"/>
          <w:sz w:val="20"/>
        </w:rPr>
        <w:t xml:space="preserve"> </w:t>
      </w:r>
      <w:r>
        <w:rPr>
          <w:sz w:val="20"/>
        </w:rPr>
        <w:t>rel.</w:t>
      </w:r>
      <w:r>
        <w:rPr>
          <w:spacing w:val="-2"/>
          <w:sz w:val="20"/>
        </w:rPr>
        <w:t xml:space="preserve"> </w:t>
      </w:r>
      <w:r>
        <w:rPr>
          <w:sz w:val="20"/>
        </w:rPr>
        <w:t>Nov.</w:t>
      </w:r>
      <w:r>
        <w:rPr>
          <w:spacing w:val="-4"/>
          <w:sz w:val="20"/>
        </w:rPr>
        <w:t xml:space="preserve"> </w:t>
      </w:r>
      <w:r>
        <w:rPr>
          <w:sz w:val="20"/>
        </w:rPr>
        <w:t>30,</w:t>
      </w:r>
      <w:r>
        <w:rPr>
          <w:spacing w:val="-2"/>
          <w:sz w:val="20"/>
        </w:rPr>
        <w:t xml:space="preserve"> </w:t>
      </w:r>
      <w:r>
        <w:rPr>
          <w:sz w:val="20"/>
        </w:rPr>
        <w:t>2020).</w:t>
      </w:r>
    </w:p>
    <w:p w14:paraId="1475373E" w14:textId="77777777" w:rsidR="005D6D17" w:rsidRDefault="005D6D17">
      <w:pPr>
        <w:rPr>
          <w:sz w:val="20"/>
        </w:rPr>
        <w:sectPr w:rsidR="005D6D17">
          <w:headerReference w:type="default" r:id="rId10"/>
          <w:footerReference w:type="default" r:id="rId11"/>
          <w:type w:val="continuous"/>
          <w:pgSz w:w="12240" w:h="15840"/>
          <w:pgMar w:top="3000" w:right="1340" w:bottom="960" w:left="1320" w:header="1598" w:footer="765" w:gutter="0"/>
          <w:pgNumType w:start="1"/>
          <w:cols w:space="720"/>
        </w:sectPr>
      </w:pPr>
    </w:p>
    <w:p w14:paraId="6FD4FE9E" w14:textId="77777777" w:rsidR="005D6D17" w:rsidRDefault="005D6D17">
      <w:pPr>
        <w:pStyle w:val="BodyText"/>
        <w:spacing w:before="116"/>
      </w:pPr>
    </w:p>
    <w:p w14:paraId="5938DCF9" w14:textId="1EECDF90" w:rsidR="005D6D17" w:rsidRDefault="0072097F">
      <w:pPr>
        <w:pStyle w:val="BodyText"/>
        <w:spacing w:before="1"/>
        <w:ind w:left="120" w:right="108"/>
        <w:rPr>
          <w:spacing w:val="-2"/>
        </w:rPr>
      </w:pPr>
      <w:r>
        <w:t>This list of prohibited uses is meant to be illustrative and should not be considered exhaustive. All determinations related to violations of this Acceptable Use Policy will be made by BBD in its sole, reasonable discretion. BBD reserves the</w:t>
      </w:r>
      <w:r>
        <w:rPr>
          <w:spacing w:val="-1"/>
        </w:rPr>
        <w:t xml:space="preserve"> </w:t>
      </w:r>
      <w:r>
        <w:t>right</w:t>
      </w:r>
      <w:r>
        <w:rPr>
          <w:spacing w:val="-1"/>
        </w:rPr>
        <w:t xml:space="preserve"> </w:t>
      </w:r>
      <w:r>
        <w:t>to</w:t>
      </w:r>
      <w:r>
        <w:rPr>
          <w:spacing w:val="-1"/>
        </w:rPr>
        <w:t xml:space="preserve"> </w:t>
      </w:r>
      <w:r>
        <w:t>change</w:t>
      </w:r>
      <w:r>
        <w:rPr>
          <w:spacing w:val="-1"/>
        </w:rPr>
        <w:t xml:space="preserve"> </w:t>
      </w:r>
      <w:r>
        <w:t>or modify the terms of the AUP</w:t>
      </w:r>
      <w:r>
        <w:rPr>
          <w:spacing w:val="-2"/>
        </w:rPr>
        <w:t xml:space="preserve"> </w:t>
      </w:r>
      <w:r>
        <w:t>at any time, effective immediately when posted to the BBD website</w:t>
      </w:r>
      <w:r w:rsidR="005C66D6">
        <w:t xml:space="preserve"> or when BBD notifies you via an invoice insert.  </w:t>
      </w:r>
      <w:r>
        <w:t xml:space="preserve"> Customer’s use of </w:t>
      </w:r>
      <w:proofErr w:type="gramStart"/>
      <w:r>
        <w:t>the BBD</w:t>
      </w:r>
      <w:proofErr w:type="gramEnd"/>
      <w:r>
        <w:t xml:space="preserve"> Services after changes to the AUP are posted to the BBD website or sent via an invoice insert shall constitute acceptance of any </w:t>
      </w:r>
      <w:r w:rsidR="005C66D6">
        <w:t>changes</w:t>
      </w:r>
      <w:r>
        <w:t xml:space="preserve"> or additional</w:t>
      </w:r>
      <w:r>
        <w:rPr>
          <w:spacing w:val="-4"/>
        </w:rPr>
        <w:t xml:space="preserve"> </w:t>
      </w:r>
      <w:r>
        <w:t>terms.</w:t>
      </w:r>
      <w:r>
        <w:rPr>
          <w:spacing w:val="-4"/>
        </w:rPr>
        <w:t xml:space="preserve"> </w:t>
      </w:r>
      <w:r>
        <w:t>If</w:t>
      </w:r>
      <w:r>
        <w:rPr>
          <w:spacing w:val="-4"/>
        </w:rPr>
        <w:t xml:space="preserve"> </w:t>
      </w:r>
      <w:r>
        <w:t>you</w:t>
      </w:r>
      <w:r>
        <w:rPr>
          <w:spacing w:val="-2"/>
        </w:rPr>
        <w:t xml:space="preserve"> </w:t>
      </w:r>
      <w:r>
        <w:t>have</w:t>
      </w:r>
      <w:r>
        <w:rPr>
          <w:spacing w:val="-4"/>
        </w:rPr>
        <w:t xml:space="preserve"> </w:t>
      </w:r>
      <w:r>
        <w:t>a</w:t>
      </w:r>
      <w:r>
        <w:rPr>
          <w:spacing w:val="-4"/>
        </w:rPr>
        <w:t xml:space="preserve"> </w:t>
      </w:r>
      <w:r>
        <w:t>complaint</w:t>
      </w:r>
      <w:r>
        <w:rPr>
          <w:spacing w:val="-4"/>
        </w:rPr>
        <w:t xml:space="preserve"> </w:t>
      </w:r>
      <w:r>
        <w:t>about</w:t>
      </w:r>
      <w:r>
        <w:rPr>
          <w:spacing w:val="-2"/>
        </w:rPr>
        <w:t xml:space="preserve"> </w:t>
      </w:r>
      <w:r>
        <w:t>abuse</w:t>
      </w:r>
      <w:r>
        <w:rPr>
          <w:spacing w:val="-2"/>
        </w:rPr>
        <w:t xml:space="preserve"> </w:t>
      </w:r>
      <w:r>
        <w:t>or</w:t>
      </w:r>
      <w:r>
        <w:rPr>
          <w:spacing w:val="-3"/>
        </w:rPr>
        <w:t xml:space="preserve"> </w:t>
      </w:r>
      <w:r>
        <w:t>a</w:t>
      </w:r>
      <w:r>
        <w:rPr>
          <w:spacing w:val="-4"/>
        </w:rPr>
        <w:t xml:space="preserve"> </w:t>
      </w:r>
      <w:r>
        <w:t>breach</w:t>
      </w:r>
      <w:r>
        <w:rPr>
          <w:spacing w:val="-4"/>
        </w:rPr>
        <w:t xml:space="preserve"> </w:t>
      </w:r>
      <w:r>
        <w:t>of</w:t>
      </w:r>
      <w:r>
        <w:rPr>
          <w:spacing w:val="-2"/>
        </w:rPr>
        <w:t xml:space="preserve"> </w:t>
      </w:r>
      <w:r>
        <w:t>this AUP,</w:t>
      </w:r>
      <w:r>
        <w:rPr>
          <w:spacing w:val="-4"/>
        </w:rPr>
        <w:t xml:space="preserve"> </w:t>
      </w:r>
      <w:r>
        <w:t>please</w:t>
      </w:r>
      <w:r>
        <w:rPr>
          <w:spacing w:val="-4"/>
        </w:rPr>
        <w:t xml:space="preserve"> </w:t>
      </w:r>
      <w:r>
        <w:t>contact</w:t>
      </w:r>
      <w:r>
        <w:rPr>
          <w:spacing w:val="-2"/>
        </w:rPr>
        <w:t xml:space="preserve"> </w:t>
      </w:r>
      <w:r>
        <w:t>a</w:t>
      </w:r>
      <w:r>
        <w:rPr>
          <w:spacing w:val="-4"/>
        </w:rPr>
        <w:t xml:space="preserve"> </w:t>
      </w:r>
      <w:r>
        <w:t xml:space="preserve">BBD </w:t>
      </w:r>
      <w:r>
        <w:rPr>
          <w:spacing w:val="-2"/>
        </w:rPr>
        <w:t>representative.</w:t>
      </w:r>
    </w:p>
    <w:p w14:paraId="5C701DFD" w14:textId="77777777" w:rsidR="00701916" w:rsidRDefault="00701916">
      <w:pPr>
        <w:pStyle w:val="BodyText"/>
        <w:spacing w:before="1"/>
        <w:ind w:left="120" w:right="108"/>
        <w:rPr>
          <w:spacing w:val="-2"/>
        </w:rPr>
      </w:pPr>
    </w:p>
    <w:p w14:paraId="1C0C9B48" w14:textId="77777777" w:rsidR="00701916" w:rsidRDefault="00701916" w:rsidP="00701916">
      <w:pPr>
        <w:pStyle w:val="BodyText"/>
        <w:ind w:left="119" w:right="103"/>
      </w:pPr>
      <w:r>
        <w:t>If</w:t>
      </w:r>
      <w:r>
        <w:rPr>
          <w:spacing w:val="-3"/>
        </w:rPr>
        <w:t xml:space="preserve"> </w:t>
      </w:r>
      <w:r>
        <w:t>you</w:t>
      </w:r>
      <w:r>
        <w:rPr>
          <w:spacing w:val="-3"/>
        </w:rPr>
        <w:t xml:space="preserve"> </w:t>
      </w:r>
      <w:r>
        <w:t>violate</w:t>
      </w:r>
      <w:r>
        <w:rPr>
          <w:spacing w:val="-3"/>
        </w:rPr>
        <w:t xml:space="preserve"> </w:t>
      </w:r>
      <w:r>
        <w:t>these</w:t>
      </w:r>
      <w:r>
        <w:rPr>
          <w:spacing w:val="-3"/>
        </w:rPr>
        <w:t xml:space="preserve"> </w:t>
      </w:r>
      <w:r>
        <w:t>Terms,</w:t>
      </w:r>
      <w:r>
        <w:rPr>
          <w:spacing w:val="-3"/>
        </w:rPr>
        <w:t xml:space="preserve"> </w:t>
      </w:r>
      <w:r>
        <w:t>we</w:t>
      </w:r>
      <w:r>
        <w:rPr>
          <w:spacing w:val="-3"/>
        </w:rPr>
        <w:t xml:space="preserve"> </w:t>
      </w:r>
      <w:r>
        <w:t>may</w:t>
      </w:r>
      <w:r>
        <w:rPr>
          <w:spacing w:val="-2"/>
        </w:rPr>
        <w:t xml:space="preserve"> </w:t>
      </w:r>
      <w:r>
        <w:t>stop</w:t>
      </w:r>
      <w:r>
        <w:rPr>
          <w:spacing w:val="-3"/>
        </w:rPr>
        <w:t xml:space="preserve"> </w:t>
      </w:r>
      <w:r>
        <w:t>providing</w:t>
      </w:r>
      <w:r>
        <w:rPr>
          <w:spacing w:val="-2"/>
        </w:rPr>
        <w:t xml:space="preserve"> </w:t>
      </w:r>
      <w:r>
        <w:t>Services</w:t>
      </w:r>
      <w:r>
        <w:rPr>
          <w:spacing w:val="-2"/>
        </w:rPr>
        <w:t xml:space="preserve"> </w:t>
      </w:r>
      <w:r>
        <w:t>to</w:t>
      </w:r>
      <w:r>
        <w:rPr>
          <w:spacing w:val="-3"/>
        </w:rPr>
        <w:t xml:space="preserve"> </w:t>
      </w:r>
      <w:r>
        <w:t>you</w:t>
      </w:r>
      <w:r>
        <w:rPr>
          <w:spacing w:val="-2"/>
        </w:rPr>
        <w:t xml:space="preserve"> </w:t>
      </w:r>
      <w:r>
        <w:t>or</w:t>
      </w:r>
      <w:r>
        <w:rPr>
          <w:spacing w:val="-2"/>
        </w:rPr>
        <w:t xml:space="preserve"> </w:t>
      </w:r>
      <w:r>
        <w:t>we</w:t>
      </w:r>
      <w:r>
        <w:rPr>
          <w:spacing w:val="-2"/>
        </w:rPr>
        <w:t xml:space="preserve"> </w:t>
      </w:r>
      <w:r>
        <w:t>may</w:t>
      </w:r>
      <w:r>
        <w:rPr>
          <w:spacing w:val="-2"/>
        </w:rPr>
        <w:t xml:space="preserve"> </w:t>
      </w:r>
      <w:r>
        <w:t>close</w:t>
      </w:r>
      <w:r>
        <w:rPr>
          <w:spacing w:val="-3"/>
        </w:rPr>
        <w:t xml:space="preserve"> </w:t>
      </w:r>
      <w:r>
        <w:t>your</w:t>
      </w:r>
      <w:r>
        <w:rPr>
          <w:spacing w:val="-2"/>
        </w:rPr>
        <w:t xml:space="preserve"> </w:t>
      </w:r>
      <w:r>
        <w:t>account.</w:t>
      </w:r>
      <w:r>
        <w:rPr>
          <w:spacing w:val="-2"/>
        </w:rPr>
        <w:t xml:space="preserve"> </w:t>
      </w:r>
      <w:r>
        <w:t>We</w:t>
      </w:r>
      <w:r>
        <w:rPr>
          <w:spacing w:val="-2"/>
        </w:rPr>
        <w:t xml:space="preserve"> </w:t>
      </w:r>
      <w:r>
        <w:t xml:space="preserve">may also block delivery of </w:t>
      </w:r>
      <w:proofErr w:type="gramStart"/>
      <w:r>
        <w:t>a communication</w:t>
      </w:r>
      <w:proofErr w:type="gramEnd"/>
      <w:r>
        <w:t xml:space="preserve"> (such as a telephone call or SMS) to or from the Services </w:t>
      </w:r>
      <w:proofErr w:type="gramStart"/>
      <w:r>
        <w:t>in an effort to</w:t>
      </w:r>
      <w:proofErr w:type="gramEnd"/>
      <w:r>
        <w:t xml:space="preserve"> enforce these Terms.</w:t>
      </w:r>
      <w:r>
        <w:rPr>
          <w:spacing w:val="40"/>
        </w:rPr>
        <w:t xml:space="preserve"> </w:t>
      </w:r>
      <w:r>
        <w:t xml:space="preserve">You also understand and agree that we are authorized and required to cooperate with and respond to all lawful civil, criminal, and regulatory inquiries relating to your use of the Services, including, without limitation, Traceback and other legal requests or demands from the FCC, FTC, civil and criminal law enforcement, and the FCC-designated </w:t>
      </w:r>
      <w:proofErr w:type="spellStart"/>
      <w:r>
        <w:t>USTelecom</w:t>
      </w:r>
      <w:proofErr w:type="spellEnd"/>
      <w:r>
        <w:t xml:space="preserve"> Industry Traceback Group consortium or any such successor entity.</w:t>
      </w:r>
      <w:r>
        <w:rPr>
          <w:spacing w:val="40"/>
        </w:rPr>
        <w:t xml:space="preserve"> </w:t>
      </w:r>
      <w:r>
        <w:t>You also understand and agree that, pursuant to your contract with BBD, you agree to defend, indemnify and hold BBD harmless for any claims, demands, suits or proceedings alleging that you have violated the terms of this AUP or your agreement with BBD.</w:t>
      </w:r>
      <w:r>
        <w:rPr>
          <w:spacing w:val="40"/>
        </w:rPr>
        <w:t xml:space="preserve"> </w:t>
      </w:r>
      <w:r>
        <w:t xml:space="preserve">When investigating alleged violations of these Terms, BBD reserves the right to review the content of your communications </w:t>
      </w:r>
      <w:proofErr w:type="gramStart"/>
      <w:r>
        <w:t>in order to</w:t>
      </w:r>
      <w:proofErr w:type="gramEnd"/>
      <w:r>
        <w:t xml:space="preserve"> resolve the issue. But we cannot monitor the entire </w:t>
      </w:r>
      <w:proofErr w:type="gramStart"/>
      <w:r>
        <w:t>Services, and</w:t>
      </w:r>
      <w:proofErr w:type="gramEnd"/>
      <w:r>
        <w:t xml:space="preserve"> make no attempt to do so.</w:t>
      </w:r>
    </w:p>
    <w:p w14:paraId="0132FC7B" w14:textId="77777777" w:rsidR="00701916" w:rsidRDefault="00701916">
      <w:pPr>
        <w:pStyle w:val="BodyText"/>
        <w:spacing w:before="1"/>
        <w:ind w:left="120" w:right="108"/>
      </w:pPr>
    </w:p>
    <w:sectPr w:rsidR="00701916">
      <w:pgSz w:w="12240" w:h="15840"/>
      <w:pgMar w:top="3000" w:right="1340" w:bottom="960" w:left="1320" w:header="1598" w:footer="7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0A861" w14:textId="77777777" w:rsidR="000A0769" w:rsidRDefault="000A0769">
      <w:r>
        <w:separator/>
      </w:r>
    </w:p>
  </w:endnote>
  <w:endnote w:type="continuationSeparator" w:id="0">
    <w:p w14:paraId="1A191056" w14:textId="77777777" w:rsidR="000A0769" w:rsidRDefault="000A0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D35C0" w14:textId="77777777" w:rsidR="005D6D17" w:rsidRDefault="0072097F">
    <w:pPr>
      <w:pStyle w:val="BodyText"/>
      <w:spacing w:line="14" w:lineRule="auto"/>
    </w:pPr>
    <w:r>
      <w:rPr>
        <w:noProof/>
      </w:rPr>
      <mc:AlternateContent>
        <mc:Choice Requires="wps">
          <w:drawing>
            <wp:anchor distT="0" distB="0" distL="0" distR="0" simplePos="0" relativeHeight="487547904" behindDoc="1" locked="0" layoutInCell="1" allowOverlap="1" wp14:anchorId="06DB7006" wp14:editId="2B654383">
              <wp:simplePos x="0" y="0"/>
              <wp:positionH relativeFrom="page">
                <wp:posOffset>901700</wp:posOffset>
              </wp:positionH>
              <wp:positionV relativeFrom="page">
                <wp:posOffset>9433052</wp:posOffset>
              </wp:positionV>
              <wp:extent cx="929005" cy="1778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9005" cy="177800"/>
                      </a:xfrm>
                      <a:prstGeom prst="rect">
                        <a:avLst/>
                      </a:prstGeom>
                    </wps:spPr>
                    <wps:txbx>
                      <w:txbxContent>
                        <w:p w14:paraId="66DBCE4E" w14:textId="64A1E120" w:rsidR="005D6D17" w:rsidRDefault="002C13D5">
                          <w:pPr>
                            <w:spacing w:line="264" w:lineRule="exact"/>
                            <w:ind w:left="20"/>
                            <w:rPr>
                              <w:rFonts w:ascii="Calibri"/>
                              <w:sz w:val="24"/>
                            </w:rPr>
                          </w:pPr>
                          <w:r>
                            <w:rPr>
                              <w:rFonts w:ascii="Calibri"/>
                              <w:spacing w:val="-2"/>
                              <w:sz w:val="24"/>
                            </w:rPr>
                            <w:t>12/31/2024</w:t>
                          </w:r>
                        </w:p>
                      </w:txbxContent>
                    </wps:txbx>
                    <wps:bodyPr wrap="square" lIns="0" tIns="0" rIns="0" bIns="0" rtlCol="0">
                      <a:noAutofit/>
                    </wps:bodyPr>
                  </wps:wsp>
                </a:graphicData>
              </a:graphic>
            </wp:anchor>
          </w:drawing>
        </mc:Choice>
        <mc:Fallback>
          <w:pict>
            <v:shapetype w14:anchorId="06DB7006" id="_x0000_t202" coordsize="21600,21600" o:spt="202" path="m,l,21600r21600,l21600,xe">
              <v:stroke joinstyle="miter"/>
              <v:path gradientshapeok="t" o:connecttype="rect"/>
            </v:shapetype>
            <v:shape id="Textbox 2" o:spid="_x0000_s1026" type="#_x0000_t202" style="position:absolute;margin-left:71pt;margin-top:742.75pt;width:73.15pt;height:14pt;z-index:-15768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" filled="f" stroked="f">
              <v:textbox inset="0,0,0,0">
                <w:txbxContent>
                  <w:p w14:paraId="66DBCE4E" w14:textId="64A1E120" w:rsidR="005D6D17" w:rsidRDefault="002C13D5">
                    <w:pPr>
                      <w:spacing w:line="264" w:lineRule="exact"/>
                      <w:ind w:left="20"/>
                      <w:rPr>
                        <w:rFonts w:ascii="Calibri"/>
                        <w:sz w:val="24"/>
                      </w:rPr>
                    </w:pPr>
                    <w:r>
                      <w:rPr>
                        <w:rFonts w:ascii="Calibri"/>
                        <w:spacing w:val="-2"/>
                        <w:sz w:val="24"/>
                      </w:rPr>
                      <w:t>12/31/2024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98305" w14:textId="77777777" w:rsidR="000A0769" w:rsidRDefault="000A0769">
      <w:r>
        <w:separator/>
      </w:r>
    </w:p>
  </w:footnote>
  <w:footnote w:type="continuationSeparator" w:id="0">
    <w:p w14:paraId="6BA3AECA" w14:textId="77777777" w:rsidR="000A0769" w:rsidRDefault="000A0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933E8" w14:textId="77777777" w:rsidR="005D6D17" w:rsidRDefault="0072097F">
    <w:pPr>
      <w:pStyle w:val="BodyText"/>
      <w:spacing w:line="14" w:lineRule="auto"/>
    </w:pPr>
    <w:r>
      <w:rPr>
        <w:noProof/>
      </w:rPr>
      <w:drawing>
        <wp:anchor distT="0" distB="0" distL="0" distR="0" simplePos="0" relativeHeight="487547392" behindDoc="1" locked="0" layoutInCell="1" allowOverlap="1" wp14:anchorId="6C04610C" wp14:editId="7F0BE84B">
          <wp:simplePos x="0" y="0"/>
          <wp:positionH relativeFrom="page">
            <wp:posOffset>914399</wp:posOffset>
          </wp:positionH>
          <wp:positionV relativeFrom="page">
            <wp:posOffset>1014729</wp:posOffset>
          </wp:positionV>
          <wp:extent cx="5591173" cy="89534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591173" cy="89534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01001A"/>
    <w:multiLevelType w:val="hybridMultilevel"/>
    <w:tmpl w:val="3DC40DDC"/>
    <w:lvl w:ilvl="0" w:tplc="EB4A0344">
      <w:numFmt w:val="bullet"/>
      <w:lvlText w:val=""/>
      <w:lvlJc w:val="left"/>
      <w:pPr>
        <w:ind w:left="840" w:hanging="360"/>
      </w:pPr>
      <w:rPr>
        <w:rFonts w:ascii="Symbol" w:eastAsia="Symbol" w:hAnsi="Symbol" w:cs="Symbol" w:hint="default"/>
        <w:b w:val="0"/>
        <w:bCs w:val="0"/>
        <w:i w:val="0"/>
        <w:iCs w:val="0"/>
        <w:spacing w:val="0"/>
        <w:w w:val="99"/>
        <w:sz w:val="20"/>
        <w:szCs w:val="20"/>
        <w:lang w:val="en-US" w:eastAsia="en-US" w:bidi="ar-SA"/>
      </w:rPr>
    </w:lvl>
    <w:lvl w:ilvl="1" w:tplc="B7CA7254">
      <w:numFmt w:val="bullet"/>
      <w:lvlText w:val="•"/>
      <w:lvlJc w:val="left"/>
      <w:pPr>
        <w:ind w:left="1714" w:hanging="360"/>
      </w:pPr>
      <w:rPr>
        <w:rFonts w:hint="default"/>
        <w:lang w:val="en-US" w:eastAsia="en-US" w:bidi="ar-SA"/>
      </w:rPr>
    </w:lvl>
    <w:lvl w:ilvl="2" w:tplc="5C2ED072">
      <w:numFmt w:val="bullet"/>
      <w:lvlText w:val="•"/>
      <w:lvlJc w:val="left"/>
      <w:pPr>
        <w:ind w:left="2588" w:hanging="360"/>
      </w:pPr>
      <w:rPr>
        <w:rFonts w:hint="default"/>
        <w:lang w:val="en-US" w:eastAsia="en-US" w:bidi="ar-SA"/>
      </w:rPr>
    </w:lvl>
    <w:lvl w:ilvl="3" w:tplc="27EAC96E">
      <w:numFmt w:val="bullet"/>
      <w:lvlText w:val="•"/>
      <w:lvlJc w:val="left"/>
      <w:pPr>
        <w:ind w:left="3462" w:hanging="360"/>
      </w:pPr>
      <w:rPr>
        <w:rFonts w:hint="default"/>
        <w:lang w:val="en-US" w:eastAsia="en-US" w:bidi="ar-SA"/>
      </w:rPr>
    </w:lvl>
    <w:lvl w:ilvl="4" w:tplc="2B4ED5DA">
      <w:numFmt w:val="bullet"/>
      <w:lvlText w:val="•"/>
      <w:lvlJc w:val="left"/>
      <w:pPr>
        <w:ind w:left="4336" w:hanging="360"/>
      </w:pPr>
      <w:rPr>
        <w:rFonts w:hint="default"/>
        <w:lang w:val="en-US" w:eastAsia="en-US" w:bidi="ar-SA"/>
      </w:rPr>
    </w:lvl>
    <w:lvl w:ilvl="5" w:tplc="83165186">
      <w:numFmt w:val="bullet"/>
      <w:lvlText w:val="•"/>
      <w:lvlJc w:val="left"/>
      <w:pPr>
        <w:ind w:left="5210" w:hanging="360"/>
      </w:pPr>
      <w:rPr>
        <w:rFonts w:hint="default"/>
        <w:lang w:val="en-US" w:eastAsia="en-US" w:bidi="ar-SA"/>
      </w:rPr>
    </w:lvl>
    <w:lvl w:ilvl="6" w:tplc="E124E3A8">
      <w:numFmt w:val="bullet"/>
      <w:lvlText w:val="•"/>
      <w:lvlJc w:val="left"/>
      <w:pPr>
        <w:ind w:left="6084" w:hanging="360"/>
      </w:pPr>
      <w:rPr>
        <w:rFonts w:hint="default"/>
        <w:lang w:val="en-US" w:eastAsia="en-US" w:bidi="ar-SA"/>
      </w:rPr>
    </w:lvl>
    <w:lvl w:ilvl="7" w:tplc="5B16F25A">
      <w:numFmt w:val="bullet"/>
      <w:lvlText w:val="•"/>
      <w:lvlJc w:val="left"/>
      <w:pPr>
        <w:ind w:left="6958" w:hanging="360"/>
      </w:pPr>
      <w:rPr>
        <w:rFonts w:hint="default"/>
        <w:lang w:val="en-US" w:eastAsia="en-US" w:bidi="ar-SA"/>
      </w:rPr>
    </w:lvl>
    <w:lvl w:ilvl="8" w:tplc="07F0BB1E">
      <w:numFmt w:val="bullet"/>
      <w:lvlText w:val="•"/>
      <w:lvlJc w:val="left"/>
      <w:pPr>
        <w:ind w:left="7832" w:hanging="360"/>
      </w:pPr>
      <w:rPr>
        <w:rFonts w:hint="default"/>
        <w:lang w:val="en-US" w:eastAsia="en-US" w:bidi="ar-SA"/>
      </w:rPr>
    </w:lvl>
  </w:abstractNum>
  <w:num w:numId="1" w16cid:durableId="717095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D17"/>
    <w:rsid w:val="000A0769"/>
    <w:rsid w:val="001312C9"/>
    <w:rsid w:val="00190ECF"/>
    <w:rsid w:val="002C13D5"/>
    <w:rsid w:val="00487D86"/>
    <w:rsid w:val="005C66D6"/>
    <w:rsid w:val="005D6D17"/>
    <w:rsid w:val="00701916"/>
    <w:rsid w:val="0072097F"/>
    <w:rsid w:val="009E52DD"/>
    <w:rsid w:val="00DF42E5"/>
    <w:rsid w:val="00F86E51"/>
    <w:rsid w:val="00FE0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A71734"/>
  <w15:docId w15:val="{520F72D9-630E-4003-97D9-987E80E43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line="264" w:lineRule="exact"/>
      <w:ind w:left="20"/>
    </w:pPr>
    <w:rPr>
      <w:rFonts w:ascii="Calibri" w:eastAsia="Calibri" w:hAnsi="Calibri" w:cs="Calibri"/>
      <w:sz w:val="24"/>
      <w:szCs w:val="24"/>
    </w:rPr>
  </w:style>
  <w:style w:type="paragraph" w:styleId="ListParagraph">
    <w:name w:val="List Paragraph"/>
    <w:basedOn w:val="Normal"/>
    <w:uiPriority w:val="1"/>
    <w:qFormat/>
    <w:pPr>
      <w:ind w:left="83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C13D5"/>
    <w:pPr>
      <w:tabs>
        <w:tab w:val="center" w:pos="4680"/>
        <w:tab w:val="right" w:pos="9360"/>
      </w:tabs>
    </w:pPr>
  </w:style>
  <w:style w:type="character" w:customStyle="1" w:styleId="HeaderChar">
    <w:name w:val="Header Char"/>
    <w:basedOn w:val="DefaultParagraphFont"/>
    <w:link w:val="Header"/>
    <w:uiPriority w:val="99"/>
    <w:rsid w:val="002C13D5"/>
    <w:rPr>
      <w:rFonts w:ascii="Arial" w:eastAsia="Arial" w:hAnsi="Arial" w:cs="Arial"/>
    </w:rPr>
  </w:style>
  <w:style w:type="paragraph" w:styleId="Footer">
    <w:name w:val="footer"/>
    <w:basedOn w:val="Normal"/>
    <w:link w:val="FooterChar"/>
    <w:uiPriority w:val="99"/>
    <w:unhideWhenUsed/>
    <w:rsid w:val="002C13D5"/>
    <w:pPr>
      <w:tabs>
        <w:tab w:val="center" w:pos="4680"/>
        <w:tab w:val="right" w:pos="9360"/>
      </w:tabs>
    </w:pPr>
  </w:style>
  <w:style w:type="character" w:customStyle="1" w:styleId="FooterChar">
    <w:name w:val="Footer Char"/>
    <w:basedOn w:val="DefaultParagraphFont"/>
    <w:link w:val="Footer"/>
    <w:uiPriority w:val="99"/>
    <w:rsid w:val="002C13D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5ACCB705FE94BADFFB95BBB482594" ma:contentTypeVersion="11" ma:contentTypeDescription="Create a new document." ma:contentTypeScope="" ma:versionID="a33f4cd1c4f0ec058568d8164c24baf9">
  <xsd:schema xmlns:xsd="http://www.w3.org/2001/XMLSchema" xmlns:xs="http://www.w3.org/2001/XMLSchema" xmlns:p="http://schemas.microsoft.com/office/2006/metadata/properties" xmlns:ns2="6ee0b38a-7703-400a-84a1-daf539032195" xmlns:ns3="92bf8d7e-2ef1-441e-9bcc-5da4570894d3" targetNamespace="http://schemas.microsoft.com/office/2006/metadata/properties" ma:root="true" ma:fieldsID="78d56375969b0ed9526d0f6a7bb2c4f7" ns2:_="" ns3:_="">
    <xsd:import namespace="6ee0b38a-7703-400a-84a1-daf539032195"/>
    <xsd:import namespace="92bf8d7e-2ef1-441e-9bcc-5da4570894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e0b38a-7703-400a-84a1-daf539032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ed554ed-32d2-4d06-9f0b-e7d03f36fa1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bf8d7e-2ef1-441e-9bcc-5da4570894d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379323c-68fe-4421-9bc0-c839be995ee3}" ma:internalName="TaxCatchAll" ma:showField="CatchAllData" ma:web="92bf8d7e-2ef1-441e-9bcc-5da4570894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ee0b38a-7703-400a-84a1-daf539032195">
      <Terms xmlns="http://schemas.microsoft.com/office/infopath/2007/PartnerControls"/>
    </lcf76f155ced4ddcb4097134ff3c332f>
    <TaxCatchAll xmlns="92bf8d7e-2ef1-441e-9bcc-5da4570894d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2B0692-43B5-4582-BF04-00D980ABB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e0b38a-7703-400a-84a1-daf539032195"/>
    <ds:schemaRef ds:uri="92bf8d7e-2ef1-441e-9bcc-5da4570894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59180D-58C7-40B4-911C-69D84E8E730A}">
  <ds:schemaRefs>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6ee0b38a-7703-400a-84a1-daf539032195"/>
    <ds:schemaRef ds:uri="92bf8d7e-2ef1-441e-9bcc-5da4570894d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4DA277C-5CD7-4419-BB10-C3EA8885CE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843</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BBD AUP.DOCX</vt:lpstr>
    </vt:vector>
  </TitlesOfParts>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BBD Acceptable Use Policy (AUP).DOCX</dc:title>
  <dc:subject>00903358;v1</dc:subject>
  <dc:creator>Joseph Bowser</dc:creator>
  <dc:description/>
  <cp:lastModifiedBy>Ruth Mascardo</cp:lastModifiedBy>
  <cp:revision>2</cp:revision>
  <dcterms:created xsi:type="dcterms:W3CDTF">2025-01-15T19:09:00Z</dcterms:created>
  <dcterms:modified xsi:type="dcterms:W3CDTF">2025-01-15T19:09:00Z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2021-08-23T00:00:00Z</vt:filetime>
  </property>
  <property fmtid="{D5CDD505-2E9C-101B-9397-08002B2CF9AE}" pid="3" name="Creator">
    <vt:lpwstr>Acrobat PDFMaker 21 for Word</vt:lpwstr>
  </property>
  <property fmtid="{D5CDD505-2E9C-101B-9397-08002B2CF9AE}" pid="4" name="LastSaved">
    <vt:filetime>2024-12-30T00:00:00Z</vt:filetime>
  </property>
  <property fmtid="{D5CDD505-2E9C-101B-9397-08002B2CF9AE}" pid="5" name="Producer">
    <vt:lpwstr>Adobe PDF Library 21.5.92</vt:lpwstr>
  </property>
  <property fmtid="{D5CDD505-2E9C-101B-9397-08002B2CF9AE}" pid="6" name="SourceModified">
    <vt:lpwstr>D:20210823195949</vt:lpwstr>
  </property>
  <property fmtid="{D5CDD505-2E9C-101B-9397-08002B2CF9AE}" pid="7" name="ContentTypeId">
    <vt:lpwstr>0x0101001A25ACCB705FE94BADFFB95BBB482594</vt:lpwstr>
  </property>
  <property fmtid="{D5CDD505-2E9C-101B-9397-08002B2CF9AE}" pid="8" name="MediaServiceImageTags">
    <vt:lpwstr/>
  </property>
</Properties>
</file>